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420" w:rsidRPr="00B07419" w:rsidRDefault="00670420" w:rsidP="00670420">
      <w:pPr>
        <w:pStyle w:val="Default"/>
        <w:jc w:val="center"/>
        <w:rPr>
          <w:rFonts w:ascii="Arial" w:hAnsi="Arial" w:cs="Arial"/>
          <w:b/>
          <w:szCs w:val="20"/>
        </w:rPr>
      </w:pPr>
      <w:bookmarkStart w:id="0" w:name="_GoBack"/>
      <w:bookmarkEnd w:id="0"/>
      <w:r w:rsidRPr="00B07419">
        <w:rPr>
          <w:rFonts w:ascii="Arial" w:hAnsi="Arial" w:cs="Arial"/>
          <w:b/>
          <w:bCs/>
          <w:szCs w:val="20"/>
        </w:rPr>
        <w:t xml:space="preserve">DoD P&amp;T Committee </w:t>
      </w:r>
      <w:r w:rsidR="00853CDF">
        <w:rPr>
          <w:rFonts w:ascii="Arial" w:hAnsi="Arial" w:cs="Arial"/>
          <w:b/>
          <w:bCs/>
          <w:szCs w:val="20"/>
        </w:rPr>
        <w:t xml:space="preserve">Class </w:t>
      </w:r>
      <w:r w:rsidRPr="00B07419">
        <w:rPr>
          <w:rFonts w:ascii="Arial" w:hAnsi="Arial" w:cs="Arial"/>
          <w:b/>
          <w:bCs/>
          <w:szCs w:val="20"/>
        </w:rPr>
        <w:t>Evaluation</w:t>
      </w:r>
      <w:r w:rsidR="00853CDF">
        <w:rPr>
          <w:rFonts w:ascii="Arial" w:hAnsi="Arial" w:cs="Arial"/>
          <w:b/>
          <w:bCs/>
          <w:szCs w:val="20"/>
        </w:rPr>
        <w:t xml:space="preserve"> Information</w:t>
      </w:r>
    </w:p>
    <w:p w:rsidR="000F6EE2" w:rsidRPr="00670420" w:rsidRDefault="000F6EE2" w:rsidP="00670420">
      <w:pPr>
        <w:pStyle w:val="Default"/>
        <w:jc w:val="center"/>
        <w:rPr>
          <w:rFonts w:ascii="Arial" w:hAnsi="Arial" w:cs="Arial"/>
          <w:b/>
          <w:color w:val="FF0000"/>
          <w:sz w:val="32"/>
        </w:rPr>
      </w:pPr>
    </w:p>
    <w:p w:rsidR="00670420" w:rsidRPr="00B07419" w:rsidRDefault="00670420" w:rsidP="00670420">
      <w:pPr>
        <w:pStyle w:val="Default"/>
        <w:jc w:val="center"/>
        <w:rPr>
          <w:rFonts w:ascii="Arial" w:hAnsi="Arial" w:cs="Arial"/>
          <w:b/>
          <w:bCs/>
          <w:i/>
          <w:color w:val="FF0000"/>
          <w:sz w:val="18"/>
          <w:szCs w:val="20"/>
        </w:rPr>
      </w:pPr>
      <w:r w:rsidRPr="00B07419">
        <w:rPr>
          <w:rFonts w:ascii="Arial" w:hAnsi="Arial" w:cs="Arial"/>
          <w:b/>
          <w:bCs/>
          <w:i/>
          <w:sz w:val="18"/>
          <w:szCs w:val="20"/>
        </w:rPr>
        <w:t xml:space="preserve"> (hereinafter referred to as “Class“ and medications in the Pharmaceutical Agents </w:t>
      </w:r>
      <w:r>
        <w:rPr>
          <w:rFonts w:ascii="Arial" w:hAnsi="Arial" w:cs="Arial"/>
          <w:b/>
          <w:bCs/>
          <w:i/>
          <w:sz w:val="18"/>
          <w:szCs w:val="20"/>
        </w:rPr>
        <w:t>t</w:t>
      </w:r>
      <w:r w:rsidRPr="00B07419">
        <w:rPr>
          <w:rFonts w:ascii="Arial" w:hAnsi="Arial" w:cs="Arial"/>
          <w:b/>
          <w:bCs/>
          <w:i/>
          <w:sz w:val="18"/>
          <w:szCs w:val="20"/>
        </w:rPr>
        <w:t>able referred to as “Agents”)</w:t>
      </w:r>
    </w:p>
    <w:p w:rsidR="00670420" w:rsidRPr="00D34D36" w:rsidRDefault="00670420" w:rsidP="00F866DD">
      <w:pPr>
        <w:spacing w:after="60"/>
        <w:rPr>
          <w:rFonts w:ascii="Arial" w:hAnsi="Arial" w:cs="Arial"/>
          <w:b/>
          <w:bCs/>
          <w:color w:val="FF0000"/>
          <w:sz w:val="20"/>
          <w:szCs w:val="20"/>
        </w:rPr>
      </w:pPr>
    </w:p>
    <w:p w:rsidR="0006562F" w:rsidRDefault="00F45BDC" w:rsidP="00F866DD">
      <w:pPr>
        <w:spacing w:after="60"/>
        <w:rPr>
          <w:rFonts w:ascii="Arial" w:hAnsi="Arial" w:cs="Arial"/>
          <w:b/>
          <w:bCs/>
          <w:sz w:val="20"/>
          <w:szCs w:val="20"/>
        </w:rPr>
      </w:pPr>
      <w:r w:rsidRPr="00F45BDC">
        <w:rPr>
          <w:rFonts w:ascii="Arial" w:hAnsi="Arial" w:cs="Arial"/>
          <w:b/>
          <w:bCs/>
          <w:sz w:val="20"/>
          <w:szCs w:val="20"/>
        </w:rPr>
        <w:t xml:space="preserve">NOTE: The DoD Pharmacy and Therapeutics (P&amp;T) Committee will consider Uniform Formulary Blanket Purchase Agreement (UF BPA) price quotes and Uniform Formulary Voluntary Agreement for TRICARE Retail Pharmacy </w:t>
      </w:r>
      <w:r w:rsidR="00383EC3">
        <w:rPr>
          <w:rFonts w:ascii="Arial" w:hAnsi="Arial" w:cs="Arial"/>
          <w:b/>
          <w:bCs/>
          <w:sz w:val="20"/>
          <w:szCs w:val="20"/>
        </w:rPr>
        <w:t>Refunds</w:t>
      </w:r>
      <w:r w:rsidRPr="00F45BDC">
        <w:rPr>
          <w:rFonts w:ascii="Arial" w:hAnsi="Arial" w:cs="Arial"/>
          <w:b/>
          <w:bCs/>
          <w:sz w:val="20"/>
          <w:szCs w:val="20"/>
        </w:rPr>
        <w:t xml:space="preserve"> (UF VARR) quotes that are co</w:t>
      </w:r>
      <w:r w:rsidR="001D60E6">
        <w:rPr>
          <w:rFonts w:ascii="Arial" w:hAnsi="Arial" w:cs="Arial"/>
          <w:b/>
          <w:bCs/>
          <w:sz w:val="20"/>
          <w:szCs w:val="20"/>
        </w:rPr>
        <w:t xml:space="preserve">ntingent upon the number of agents </w:t>
      </w:r>
      <w:r w:rsidRPr="00F45BDC">
        <w:rPr>
          <w:rFonts w:ascii="Arial" w:hAnsi="Arial" w:cs="Arial"/>
          <w:b/>
          <w:bCs/>
          <w:sz w:val="20"/>
          <w:szCs w:val="20"/>
        </w:rPr>
        <w:t>selected for the Uniform Formulary (UF</w:t>
      </w:r>
      <w:r w:rsidRPr="005C0CFF">
        <w:rPr>
          <w:rFonts w:ascii="Arial" w:hAnsi="Arial" w:cs="Arial"/>
          <w:b/>
          <w:bCs/>
          <w:sz w:val="20"/>
          <w:szCs w:val="20"/>
        </w:rPr>
        <w:t xml:space="preserve">). The </w:t>
      </w:r>
      <w:r w:rsidR="00D97FBC" w:rsidRPr="005C0CFF">
        <w:rPr>
          <w:rFonts w:ascii="Arial" w:hAnsi="Arial" w:cs="Arial"/>
          <w:b/>
          <w:bCs/>
          <w:sz w:val="20"/>
          <w:szCs w:val="20"/>
        </w:rPr>
        <w:t xml:space="preserve">Condition Sets and </w:t>
      </w:r>
      <w:r w:rsidRPr="005C0CFF">
        <w:rPr>
          <w:rFonts w:ascii="Arial" w:hAnsi="Arial" w:cs="Arial"/>
          <w:b/>
          <w:bCs/>
          <w:sz w:val="20"/>
          <w:szCs w:val="20"/>
        </w:rPr>
        <w:t xml:space="preserve">procedures for submitting UF BPA and UF VARR quotes are outlined in the UF BPA </w:t>
      </w:r>
      <w:r w:rsidR="00884EAE" w:rsidRPr="005C0CFF">
        <w:rPr>
          <w:rFonts w:ascii="Arial" w:hAnsi="Arial" w:cs="Arial"/>
          <w:b/>
          <w:bCs/>
          <w:sz w:val="20"/>
          <w:szCs w:val="20"/>
        </w:rPr>
        <w:t>Appendix</w:t>
      </w:r>
      <w:r w:rsidRPr="005C0CFF">
        <w:rPr>
          <w:rFonts w:ascii="Arial" w:hAnsi="Arial" w:cs="Arial"/>
          <w:b/>
          <w:bCs/>
          <w:sz w:val="20"/>
          <w:szCs w:val="20"/>
        </w:rPr>
        <w:t xml:space="preserve">, the UF VARR </w:t>
      </w:r>
      <w:r w:rsidR="00884EAE" w:rsidRPr="005C0CFF">
        <w:rPr>
          <w:rFonts w:ascii="Arial" w:hAnsi="Arial" w:cs="Arial"/>
          <w:b/>
          <w:bCs/>
          <w:sz w:val="20"/>
          <w:szCs w:val="20"/>
        </w:rPr>
        <w:t>Appendix</w:t>
      </w:r>
      <w:r w:rsidR="00D97FBC" w:rsidRPr="005C0CFF">
        <w:rPr>
          <w:rFonts w:ascii="Arial" w:hAnsi="Arial" w:cs="Arial"/>
          <w:b/>
          <w:bCs/>
          <w:sz w:val="20"/>
          <w:szCs w:val="20"/>
        </w:rPr>
        <w:t>,</w:t>
      </w:r>
      <w:r w:rsidRPr="005C0CFF">
        <w:rPr>
          <w:rFonts w:ascii="Arial" w:hAnsi="Arial" w:cs="Arial"/>
          <w:b/>
          <w:bCs/>
          <w:sz w:val="20"/>
          <w:szCs w:val="20"/>
        </w:rPr>
        <w:t xml:space="preserve"> and under the</w:t>
      </w:r>
      <w:r w:rsidRPr="00F45BDC">
        <w:rPr>
          <w:rFonts w:ascii="Arial" w:hAnsi="Arial" w:cs="Arial"/>
          <w:b/>
          <w:bCs/>
          <w:sz w:val="20"/>
          <w:szCs w:val="20"/>
        </w:rPr>
        <w:t xml:space="preserve"> "UF </w:t>
      </w:r>
      <w:r w:rsidR="00D97FBC">
        <w:rPr>
          <w:rFonts w:ascii="Arial" w:hAnsi="Arial" w:cs="Arial"/>
          <w:b/>
          <w:bCs/>
          <w:sz w:val="20"/>
          <w:szCs w:val="20"/>
        </w:rPr>
        <w:t>BPA</w:t>
      </w:r>
      <w:r w:rsidRPr="00F45BDC">
        <w:rPr>
          <w:rFonts w:ascii="Arial" w:hAnsi="Arial" w:cs="Arial"/>
          <w:b/>
          <w:bCs/>
          <w:sz w:val="20"/>
          <w:szCs w:val="20"/>
        </w:rPr>
        <w:t xml:space="preserve"> and </w:t>
      </w:r>
      <w:r w:rsidR="00D97FBC">
        <w:rPr>
          <w:rFonts w:ascii="Arial" w:hAnsi="Arial" w:cs="Arial"/>
          <w:b/>
          <w:bCs/>
          <w:sz w:val="20"/>
          <w:szCs w:val="20"/>
        </w:rPr>
        <w:t>UF VARR</w:t>
      </w:r>
      <w:r w:rsidRPr="00F45BDC">
        <w:rPr>
          <w:rFonts w:ascii="Arial" w:hAnsi="Arial" w:cs="Arial"/>
          <w:b/>
          <w:bCs/>
          <w:sz w:val="20"/>
          <w:szCs w:val="20"/>
        </w:rPr>
        <w:t xml:space="preserve"> Quotes" section </w:t>
      </w:r>
      <w:r w:rsidR="007D7D1C">
        <w:rPr>
          <w:rFonts w:ascii="Arial" w:hAnsi="Arial" w:cs="Arial"/>
          <w:b/>
          <w:bCs/>
          <w:sz w:val="20"/>
          <w:szCs w:val="20"/>
        </w:rPr>
        <w:t>b</w:t>
      </w:r>
      <w:r w:rsidRPr="00F45BDC">
        <w:rPr>
          <w:rFonts w:ascii="Arial" w:hAnsi="Arial" w:cs="Arial"/>
          <w:b/>
          <w:bCs/>
          <w:sz w:val="20"/>
          <w:szCs w:val="20"/>
        </w:rPr>
        <w:t>elow:</w:t>
      </w:r>
    </w:p>
    <w:p w:rsidR="001D60E6" w:rsidRDefault="001D60E6" w:rsidP="00F866DD">
      <w:pPr>
        <w:spacing w:after="60"/>
        <w:rPr>
          <w:rFonts w:ascii="Arial" w:hAnsi="Arial" w:cs="Arial"/>
          <w:b/>
          <w:bCs/>
          <w:sz w:val="20"/>
          <w:szCs w:val="20"/>
        </w:rPr>
      </w:pPr>
    </w:p>
    <w:p w:rsidR="0006562F" w:rsidRPr="00580BB8" w:rsidRDefault="0006562F" w:rsidP="00F866DD">
      <w:pPr>
        <w:spacing w:after="60"/>
        <w:rPr>
          <w:rFonts w:ascii="Arial" w:hAnsi="Arial" w:cs="Arial"/>
          <w:b/>
          <w:bCs/>
          <w:sz w:val="22"/>
          <w:szCs w:val="22"/>
          <w:u w:val="single"/>
        </w:rPr>
      </w:pPr>
      <w:r w:rsidRPr="00580BB8">
        <w:rPr>
          <w:rFonts w:ascii="Arial" w:hAnsi="Arial" w:cs="Arial"/>
          <w:b/>
          <w:bCs/>
          <w:sz w:val="22"/>
          <w:szCs w:val="22"/>
          <w:u w:val="single"/>
        </w:rPr>
        <w:t>Drug Class Description</w:t>
      </w:r>
      <w:r w:rsidR="00670420" w:rsidRPr="00580BB8">
        <w:rPr>
          <w:rFonts w:ascii="Arial" w:hAnsi="Arial" w:cs="Arial"/>
          <w:b/>
          <w:bCs/>
          <w:sz w:val="22"/>
          <w:szCs w:val="22"/>
          <w:u w:val="single"/>
        </w:rPr>
        <w:t xml:space="preserve"> / Pharmaceutical Agents</w:t>
      </w:r>
      <w:r w:rsidR="00670420" w:rsidRPr="00580BB8">
        <w:rPr>
          <w:rFonts w:ascii="Arial" w:hAnsi="Arial" w:cs="Arial"/>
          <w:b/>
          <w:bCs/>
          <w:sz w:val="20"/>
          <w:szCs w:val="20"/>
          <w:u w:val="single"/>
        </w:rPr>
        <w:t>:</w:t>
      </w:r>
    </w:p>
    <w:p w:rsidR="006E7583" w:rsidRPr="004A472E" w:rsidRDefault="006E7583" w:rsidP="006E7583">
      <w:pPr>
        <w:spacing w:after="60"/>
        <w:rPr>
          <w:rFonts w:ascii="Arial" w:hAnsi="Arial" w:cs="Arial"/>
          <w:sz w:val="20"/>
          <w:szCs w:val="20"/>
        </w:rPr>
      </w:pPr>
      <w:r>
        <w:rPr>
          <w:rFonts w:ascii="Arial" w:hAnsi="Arial" w:cs="Arial"/>
          <w:sz w:val="20"/>
          <w:szCs w:val="20"/>
        </w:rPr>
        <w:t>The DoD P&amp;T</w:t>
      </w:r>
      <w:r w:rsidR="00D97FBC">
        <w:rPr>
          <w:rFonts w:ascii="Arial" w:hAnsi="Arial" w:cs="Arial"/>
          <w:sz w:val="20"/>
          <w:szCs w:val="20"/>
        </w:rPr>
        <w:t xml:space="preserve"> </w:t>
      </w:r>
      <w:r>
        <w:rPr>
          <w:rFonts w:ascii="Arial" w:hAnsi="Arial" w:cs="Arial"/>
          <w:sz w:val="20"/>
          <w:szCs w:val="20"/>
        </w:rPr>
        <w:t xml:space="preserve">Committee intends to evaluate the </w:t>
      </w:r>
      <w:r w:rsidR="001D69F8">
        <w:rPr>
          <w:rFonts w:ascii="Arial" w:hAnsi="Arial" w:cs="Arial"/>
          <w:sz w:val="20"/>
          <w:szCs w:val="20"/>
        </w:rPr>
        <w:t xml:space="preserve">following </w:t>
      </w:r>
      <w:r>
        <w:rPr>
          <w:rFonts w:ascii="Arial" w:hAnsi="Arial" w:cs="Arial"/>
          <w:sz w:val="20"/>
          <w:szCs w:val="20"/>
        </w:rPr>
        <w:t>pharmaceutical agents in th</w:t>
      </w:r>
      <w:r w:rsidR="00853CDF">
        <w:rPr>
          <w:rFonts w:ascii="Arial" w:hAnsi="Arial" w:cs="Arial"/>
          <w:sz w:val="20"/>
          <w:szCs w:val="20"/>
        </w:rPr>
        <w:t>e</w:t>
      </w:r>
      <w:r>
        <w:rPr>
          <w:rFonts w:ascii="Arial" w:hAnsi="Arial" w:cs="Arial"/>
          <w:sz w:val="20"/>
          <w:szCs w:val="20"/>
        </w:rPr>
        <w:t>s</w:t>
      </w:r>
      <w:r w:rsidR="00853CDF">
        <w:rPr>
          <w:rFonts w:ascii="Arial" w:hAnsi="Arial" w:cs="Arial"/>
          <w:sz w:val="20"/>
          <w:szCs w:val="20"/>
        </w:rPr>
        <w:t>e</w:t>
      </w:r>
      <w:r>
        <w:rPr>
          <w:rFonts w:ascii="Arial" w:hAnsi="Arial" w:cs="Arial"/>
          <w:sz w:val="20"/>
          <w:szCs w:val="20"/>
        </w:rPr>
        <w:t xml:space="preserve"> class</w:t>
      </w:r>
      <w:r w:rsidR="00853CDF">
        <w:rPr>
          <w:rFonts w:ascii="Arial" w:hAnsi="Arial" w:cs="Arial"/>
          <w:sz w:val="20"/>
          <w:szCs w:val="20"/>
        </w:rPr>
        <w:t>es</w:t>
      </w:r>
      <w:r>
        <w:rPr>
          <w:rFonts w:ascii="Arial" w:hAnsi="Arial" w:cs="Arial"/>
          <w:sz w:val="20"/>
          <w:szCs w:val="20"/>
        </w:rPr>
        <w:t xml:space="preserve"> at the upcoming meeting:</w:t>
      </w:r>
    </w:p>
    <w:p w:rsidR="00611203" w:rsidRPr="00FF2486" w:rsidRDefault="00611203" w:rsidP="00611203">
      <w:pPr>
        <w:pStyle w:val="Default"/>
        <w:rPr>
          <w:rFonts w:ascii="Arial" w:hAnsi="Arial" w:cs="Arial"/>
          <w:b/>
          <w:bCs/>
          <w:sz w:val="20"/>
          <w:szCs w:val="20"/>
        </w:rPr>
      </w:pPr>
      <w:r w:rsidRPr="00FF2486">
        <w:rPr>
          <w:rFonts w:ascii="Arial" w:hAnsi="Arial" w:cs="Arial"/>
          <w:b/>
          <w:bCs/>
          <w:sz w:val="20"/>
          <w:szCs w:val="20"/>
        </w:rPr>
        <w:t>DoD P&amp;T Class:</w:t>
      </w:r>
      <w:r w:rsidRPr="00FF2486">
        <w:rPr>
          <w:b/>
          <w:bCs/>
          <w:color w:val="333366"/>
          <w:sz w:val="20"/>
          <w:szCs w:val="20"/>
        </w:rPr>
        <w:t xml:space="preserve"> </w:t>
      </w:r>
      <w:r w:rsidR="00185AF0">
        <w:rPr>
          <w:rFonts w:ascii="Arial" w:hAnsi="Arial" w:cs="Arial"/>
          <w:b/>
          <w:bCs/>
          <w:color w:val="FF0000"/>
          <w:sz w:val="20"/>
          <w:szCs w:val="20"/>
        </w:rPr>
        <w:t>ORAL CONTRACEPTIVES</w:t>
      </w:r>
    </w:p>
    <w:p w:rsidR="005D2F38" w:rsidRPr="00FF2486" w:rsidRDefault="00611203" w:rsidP="00611203">
      <w:pPr>
        <w:spacing w:after="60"/>
        <w:rPr>
          <w:rFonts w:ascii="Arial" w:hAnsi="Arial" w:cs="Arial"/>
          <w:b/>
          <w:bCs/>
          <w:sz w:val="20"/>
          <w:szCs w:val="20"/>
        </w:rPr>
      </w:pPr>
      <w:r w:rsidRPr="00FF2486">
        <w:rPr>
          <w:rFonts w:ascii="Arial" w:hAnsi="Arial" w:cs="Arial"/>
          <w:b/>
          <w:bCs/>
          <w:sz w:val="20"/>
          <w:szCs w:val="20"/>
        </w:rPr>
        <w:t xml:space="preserve">DoD P&amp;T Sub-Class: </w:t>
      </w:r>
      <w:r w:rsidR="00D069D1">
        <w:rPr>
          <w:rFonts w:ascii="Arial" w:hAnsi="Arial" w:cs="Arial"/>
          <w:b/>
          <w:bCs/>
          <w:color w:val="FF0000"/>
          <w:sz w:val="20"/>
          <w:szCs w:val="20"/>
        </w:rPr>
        <w:t>MULTIPLE</w:t>
      </w:r>
    </w:p>
    <w:tbl>
      <w:tblPr>
        <w:tblW w:w="277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tblGrid>
      <w:tr w:rsidR="00185AF0" w:rsidTr="002922CE">
        <w:trPr>
          <w:trHeight w:val="255"/>
        </w:trPr>
        <w:tc>
          <w:tcPr>
            <w:tcW w:w="2776" w:type="dxa"/>
            <w:tcBorders>
              <w:top w:val="single" w:sz="4" w:space="0" w:color="auto"/>
              <w:left w:val="single" w:sz="4" w:space="0" w:color="auto"/>
              <w:bottom w:val="single" w:sz="4" w:space="0" w:color="auto"/>
              <w:right w:val="single" w:sz="4" w:space="0" w:color="auto"/>
            </w:tcBorders>
            <w:shd w:val="clear" w:color="FFFFFF" w:fill="auto"/>
            <w:noWrap/>
          </w:tcPr>
          <w:p w:rsidR="00185AF0" w:rsidRPr="00185AF0" w:rsidRDefault="00185AF0" w:rsidP="00881193">
            <w:pPr>
              <w:pStyle w:val="PlainText"/>
              <w:rPr>
                <w:rFonts w:ascii="Arial" w:hAnsi="Arial" w:cs="Arial"/>
                <w:sz w:val="20"/>
              </w:rPr>
            </w:pPr>
            <w:r w:rsidRPr="00185AF0">
              <w:rPr>
                <w:rFonts w:ascii="Arial" w:hAnsi="Arial" w:cs="Arial"/>
                <w:sz w:val="20"/>
              </w:rPr>
              <w:t xml:space="preserve">ORTHO TRI-CYCLEN LO        </w:t>
            </w:r>
          </w:p>
        </w:tc>
      </w:tr>
      <w:tr w:rsidR="00185AF0" w:rsidTr="002922CE">
        <w:trPr>
          <w:trHeight w:val="255"/>
        </w:trPr>
        <w:tc>
          <w:tcPr>
            <w:tcW w:w="2776" w:type="dxa"/>
            <w:tcBorders>
              <w:top w:val="single" w:sz="4" w:space="0" w:color="auto"/>
              <w:left w:val="single" w:sz="4" w:space="0" w:color="auto"/>
              <w:bottom w:val="single" w:sz="4" w:space="0" w:color="auto"/>
              <w:right w:val="single" w:sz="4" w:space="0" w:color="auto"/>
            </w:tcBorders>
            <w:shd w:val="clear" w:color="FFFFFF" w:fill="auto"/>
            <w:noWrap/>
          </w:tcPr>
          <w:p w:rsidR="00185AF0" w:rsidRPr="00185AF0" w:rsidRDefault="00185AF0" w:rsidP="00881193">
            <w:pPr>
              <w:pStyle w:val="PlainText"/>
              <w:rPr>
                <w:rFonts w:ascii="Arial" w:hAnsi="Arial" w:cs="Arial"/>
                <w:sz w:val="20"/>
              </w:rPr>
            </w:pPr>
            <w:r w:rsidRPr="00185AF0">
              <w:rPr>
                <w:rFonts w:ascii="Arial" w:hAnsi="Arial" w:cs="Arial"/>
                <w:sz w:val="20"/>
              </w:rPr>
              <w:t xml:space="preserve">NUVARING                   </w:t>
            </w:r>
          </w:p>
        </w:tc>
      </w:tr>
      <w:tr w:rsidR="00185AF0" w:rsidTr="002922CE">
        <w:trPr>
          <w:trHeight w:val="255"/>
        </w:trPr>
        <w:tc>
          <w:tcPr>
            <w:tcW w:w="2776" w:type="dxa"/>
            <w:tcBorders>
              <w:top w:val="single" w:sz="4" w:space="0" w:color="auto"/>
              <w:left w:val="single" w:sz="4" w:space="0" w:color="auto"/>
              <w:bottom w:val="single" w:sz="4" w:space="0" w:color="auto"/>
              <w:right w:val="single" w:sz="4" w:space="0" w:color="auto"/>
            </w:tcBorders>
            <w:shd w:val="clear" w:color="FFFFFF" w:fill="auto"/>
            <w:noWrap/>
          </w:tcPr>
          <w:p w:rsidR="00185AF0" w:rsidRPr="00185AF0" w:rsidRDefault="00185AF0" w:rsidP="00881193">
            <w:pPr>
              <w:pStyle w:val="PlainText"/>
              <w:rPr>
                <w:rFonts w:ascii="Arial" w:hAnsi="Arial" w:cs="Arial"/>
                <w:sz w:val="20"/>
              </w:rPr>
            </w:pPr>
            <w:r w:rsidRPr="00185AF0">
              <w:rPr>
                <w:rFonts w:ascii="Arial" w:hAnsi="Arial" w:cs="Arial"/>
                <w:sz w:val="20"/>
              </w:rPr>
              <w:t xml:space="preserve">MINASTRIN 24 FE            </w:t>
            </w:r>
          </w:p>
        </w:tc>
      </w:tr>
      <w:tr w:rsidR="00185AF0" w:rsidTr="002922CE">
        <w:trPr>
          <w:trHeight w:val="255"/>
        </w:trPr>
        <w:tc>
          <w:tcPr>
            <w:tcW w:w="2776" w:type="dxa"/>
            <w:tcBorders>
              <w:top w:val="single" w:sz="4" w:space="0" w:color="auto"/>
              <w:left w:val="single" w:sz="4" w:space="0" w:color="auto"/>
              <w:bottom w:val="single" w:sz="4" w:space="0" w:color="auto"/>
              <w:right w:val="single" w:sz="4" w:space="0" w:color="auto"/>
            </w:tcBorders>
            <w:shd w:val="clear" w:color="FFFFFF" w:fill="auto"/>
            <w:noWrap/>
          </w:tcPr>
          <w:p w:rsidR="00185AF0" w:rsidRPr="00185AF0" w:rsidRDefault="00185AF0" w:rsidP="00881193">
            <w:pPr>
              <w:pStyle w:val="PlainText"/>
              <w:rPr>
                <w:rFonts w:ascii="Arial" w:hAnsi="Arial" w:cs="Arial"/>
                <w:sz w:val="20"/>
              </w:rPr>
            </w:pPr>
            <w:r w:rsidRPr="00185AF0">
              <w:rPr>
                <w:rFonts w:ascii="Arial" w:hAnsi="Arial" w:cs="Arial"/>
                <w:sz w:val="20"/>
              </w:rPr>
              <w:t xml:space="preserve">LO LOESTRIN FE             </w:t>
            </w:r>
          </w:p>
        </w:tc>
      </w:tr>
      <w:tr w:rsidR="00185AF0" w:rsidTr="002922CE">
        <w:trPr>
          <w:trHeight w:val="255"/>
        </w:trPr>
        <w:tc>
          <w:tcPr>
            <w:tcW w:w="2776" w:type="dxa"/>
            <w:tcBorders>
              <w:top w:val="single" w:sz="4" w:space="0" w:color="auto"/>
              <w:left w:val="single" w:sz="4" w:space="0" w:color="auto"/>
              <w:bottom w:val="single" w:sz="4" w:space="0" w:color="auto"/>
              <w:right w:val="single" w:sz="4" w:space="0" w:color="auto"/>
            </w:tcBorders>
            <w:shd w:val="clear" w:color="FFFFFF" w:fill="auto"/>
            <w:noWrap/>
          </w:tcPr>
          <w:p w:rsidR="00185AF0" w:rsidRPr="00185AF0" w:rsidRDefault="00185AF0" w:rsidP="00881193">
            <w:pPr>
              <w:pStyle w:val="PlainText"/>
              <w:rPr>
                <w:rFonts w:ascii="Arial" w:hAnsi="Arial" w:cs="Arial"/>
                <w:sz w:val="20"/>
              </w:rPr>
            </w:pPr>
            <w:r w:rsidRPr="00185AF0">
              <w:rPr>
                <w:rFonts w:ascii="Arial" w:hAnsi="Arial" w:cs="Arial"/>
                <w:sz w:val="20"/>
              </w:rPr>
              <w:t xml:space="preserve">BEYAZ                      </w:t>
            </w:r>
          </w:p>
        </w:tc>
      </w:tr>
      <w:tr w:rsidR="00185AF0" w:rsidTr="002922CE">
        <w:trPr>
          <w:trHeight w:val="255"/>
        </w:trPr>
        <w:tc>
          <w:tcPr>
            <w:tcW w:w="2776" w:type="dxa"/>
            <w:tcBorders>
              <w:top w:val="single" w:sz="4" w:space="0" w:color="auto"/>
              <w:left w:val="single" w:sz="4" w:space="0" w:color="auto"/>
              <w:bottom w:val="single" w:sz="4" w:space="0" w:color="auto"/>
              <w:right w:val="single" w:sz="4" w:space="0" w:color="auto"/>
            </w:tcBorders>
            <w:shd w:val="clear" w:color="FFFFFF" w:fill="auto"/>
            <w:noWrap/>
          </w:tcPr>
          <w:p w:rsidR="00185AF0" w:rsidRPr="00185AF0" w:rsidRDefault="00185AF0" w:rsidP="00881193">
            <w:pPr>
              <w:pStyle w:val="PlainText"/>
              <w:rPr>
                <w:rFonts w:ascii="Arial" w:hAnsi="Arial" w:cs="Arial"/>
                <w:sz w:val="20"/>
              </w:rPr>
            </w:pPr>
            <w:r w:rsidRPr="00185AF0">
              <w:rPr>
                <w:rFonts w:ascii="Arial" w:hAnsi="Arial" w:cs="Arial"/>
                <w:sz w:val="20"/>
              </w:rPr>
              <w:t xml:space="preserve">NATAZIA                    </w:t>
            </w:r>
          </w:p>
        </w:tc>
      </w:tr>
      <w:tr w:rsidR="00185AF0" w:rsidTr="002922CE">
        <w:trPr>
          <w:trHeight w:val="255"/>
        </w:trPr>
        <w:tc>
          <w:tcPr>
            <w:tcW w:w="2776" w:type="dxa"/>
            <w:tcBorders>
              <w:top w:val="single" w:sz="4" w:space="0" w:color="auto"/>
              <w:left w:val="single" w:sz="4" w:space="0" w:color="auto"/>
              <w:bottom w:val="single" w:sz="4" w:space="0" w:color="auto"/>
              <w:right w:val="single" w:sz="4" w:space="0" w:color="auto"/>
            </w:tcBorders>
            <w:shd w:val="clear" w:color="FFFFFF" w:fill="auto"/>
            <w:noWrap/>
          </w:tcPr>
          <w:p w:rsidR="00185AF0" w:rsidRPr="00185AF0" w:rsidRDefault="00185AF0" w:rsidP="00881193">
            <w:pPr>
              <w:pStyle w:val="PlainText"/>
              <w:rPr>
                <w:rFonts w:ascii="Arial" w:hAnsi="Arial" w:cs="Arial"/>
                <w:sz w:val="20"/>
              </w:rPr>
            </w:pPr>
            <w:r w:rsidRPr="00185AF0">
              <w:rPr>
                <w:rFonts w:ascii="Arial" w:hAnsi="Arial" w:cs="Arial"/>
                <w:sz w:val="20"/>
              </w:rPr>
              <w:t xml:space="preserve">QUARTETTE                  </w:t>
            </w:r>
          </w:p>
        </w:tc>
      </w:tr>
      <w:tr w:rsidR="00185AF0" w:rsidTr="002922CE">
        <w:trPr>
          <w:trHeight w:val="255"/>
        </w:trPr>
        <w:tc>
          <w:tcPr>
            <w:tcW w:w="2776" w:type="dxa"/>
            <w:tcBorders>
              <w:top w:val="single" w:sz="4" w:space="0" w:color="auto"/>
              <w:left w:val="single" w:sz="4" w:space="0" w:color="auto"/>
              <w:bottom w:val="single" w:sz="4" w:space="0" w:color="auto"/>
              <w:right w:val="single" w:sz="4" w:space="0" w:color="auto"/>
            </w:tcBorders>
            <w:shd w:val="clear" w:color="FFFFFF" w:fill="auto"/>
            <w:noWrap/>
          </w:tcPr>
          <w:p w:rsidR="00185AF0" w:rsidRPr="00185AF0" w:rsidRDefault="00185AF0" w:rsidP="00881193">
            <w:pPr>
              <w:pStyle w:val="PlainText"/>
              <w:rPr>
                <w:rFonts w:ascii="Arial" w:hAnsi="Arial" w:cs="Arial"/>
                <w:sz w:val="20"/>
              </w:rPr>
            </w:pPr>
            <w:r w:rsidRPr="00185AF0">
              <w:rPr>
                <w:rFonts w:ascii="Arial" w:hAnsi="Arial" w:cs="Arial"/>
                <w:sz w:val="20"/>
              </w:rPr>
              <w:t xml:space="preserve">SAFYRAL                    </w:t>
            </w:r>
          </w:p>
        </w:tc>
      </w:tr>
      <w:tr w:rsidR="00185AF0" w:rsidTr="002922CE">
        <w:trPr>
          <w:trHeight w:val="255"/>
        </w:trPr>
        <w:tc>
          <w:tcPr>
            <w:tcW w:w="2776" w:type="dxa"/>
            <w:tcBorders>
              <w:top w:val="single" w:sz="4" w:space="0" w:color="auto"/>
              <w:left w:val="single" w:sz="4" w:space="0" w:color="auto"/>
              <w:bottom w:val="single" w:sz="4" w:space="0" w:color="auto"/>
              <w:right w:val="single" w:sz="4" w:space="0" w:color="auto"/>
            </w:tcBorders>
            <w:shd w:val="clear" w:color="FFFFFF" w:fill="auto"/>
            <w:noWrap/>
          </w:tcPr>
          <w:p w:rsidR="00185AF0" w:rsidRPr="00185AF0" w:rsidRDefault="00185AF0" w:rsidP="00881193">
            <w:pPr>
              <w:pStyle w:val="PlainText"/>
              <w:rPr>
                <w:rFonts w:ascii="Arial" w:hAnsi="Arial" w:cs="Arial"/>
                <w:sz w:val="20"/>
              </w:rPr>
            </w:pPr>
            <w:r w:rsidRPr="00185AF0">
              <w:rPr>
                <w:rFonts w:ascii="Arial" w:hAnsi="Arial" w:cs="Arial"/>
                <w:sz w:val="20"/>
              </w:rPr>
              <w:t xml:space="preserve">DEPO-SUBQ PROVERA 104      </w:t>
            </w:r>
          </w:p>
        </w:tc>
      </w:tr>
      <w:tr w:rsidR="00185AF0" w:rsidTr="002922CE">
        <w:trPr>
          <w:trHeight w:val="255"/>
        </w:trPr>
        <w:tc>
          <w:tcPr>
            <w:tcW w:w="2776" w:type="dxa"/>
            <w:tcBorders>
              <w:top w:val="single" w:sz="4" w:space="0" w:color="auto"/>
              <w:left w:val="single" w:sz="4" w:space="0" w:color="auto"/>
              <w:bottom w:val="single" w:sz="4" w:space="0" w:color="auto"/>
              <w:right w:val="single" w:sz="4" w:space="0" w:color="auto"/>
            </w:tcBorders>
            <w:shd w:val="clear" w:color="FFFFFF" w:fill="auto"/>
            <w:noWrap/>
          </w:tcPr>
          <w:p w:rsidR="00185AF0" w:rsidRPr="00185AF0" w:rsidRDefault="00185AF0" w:rsidP="00881193">
            <w:pPr>
              <w:pStyle w:val="PlainText"/>
              <w:rPr>
                <w:rFonts w:ascii="Arial" w:hAnsi="Arial" w:cs="Arial"/>
                <w:sz w:val="20"/>
              </w:rPr>
            </w:pPr>
            <w:r w:rsidRPr="00185AF0">
              <w:rPr>
                <w:rFonts w:ascii="Arial" w:hAnsi="Arial" w:cs="Arial"/>
                <w:sz w:val="20"/>
              </w:rPr>
              <w:t xml:space="preserve">NORINYL 1+50               </w:t>
            </w:r>
          </w:p>
        </w:tc>
      </w:tr>
      <w:tr w:rsidR="00185AF0" w:rsidTr="002922CE">
        <w:trPr>
          <w:trHeight w:val="255"/>
        </w:trPr>
        <w:tc>
          <w:tcPr>
            <w:tcW w:w="2776" w:type="dxa"/>
            <w:tcBorders>
              <w:top w:val="single" w:sz="4" w:space="0" w:color="auto"/>
              <w:left w:val="single" w:sz="4" w:space="0" w:color="auto"/>
              <w:bottom w:val="single" w:sz="4" w:space="0" w:color="auto"/>
              <w:right w:val="single" w:sz="4" w:space="0" w:color="auto"/>
            </w:tcBorders>
            <w:shd w:val="clear" w:color="FFFFFF" w:fill="auto"/>
            <w:noWrap/>
          </w:tcPr>
          <w:p w:rsidR="00185AF0" w:rsidRPr="00185AF0" w:rsidRDefault="00185AF0" w:rsidP="00881193">
            <w:pPr>
              <w:pStyle w:val="PlainText"/>
              <w:rPr>
                <w:rFonts w:ascii="Arial" w:hAnsi="Arial" w:cs="Arial"/>
                <w:sz w:val="20"/>
              </w:rPr>
            </w:pPr>
            <w:r w:rsidRPr="00185AF0">
              <w:rPr>
                <w:rFonts w:ascii="Arial" w:hAnsi="Arial" w:cs="Arial"/>
                <w:sz w:val="20"/>
              </w:rPr>
              <w:t xml:space="preserve">LO MINASTRIN FE            </w:t>
            </w:r>
          </w:p>
        </w:tc>
      </w:tr>
    </w:tbl>
    <w:p w:rsidR="00853CDF" w:rsidRPr="00FF2486" w:rsidRDefault="00853CDF" w:rsidP="00853CDF">
      <w:pPr>
        <w:spacing w:after="60"/>
        <w:rPr>
          <w:rFonts w:ascii="Arial" w:hAnsi="Arial" w:cs="Arial"/>
          <w:b/>
          <w:bCs/>
          <w:sz w:val="20"/>
          <w:szCs w:val="20"/>
        </w:rPr>
      </w:pPr>
    </w:p>
    <w:p w:rsidR="00185AF0" w:rsidRPr="00FF2486" w:rsidRDefault="00185AF0" w:rsidP="00C25837">
      <w:pPr>
        <w:pStyle w:val="Default"/>
        <w:rPr>
          <w:rFonts w:ascii="Arial" w:hAnsi="Arial" w:cs="Arial"/>
          <w:b/>
          <w:bCs/>
          <w:sz w:val="20"/>
          <w:szCs w:val="20"/>
        </w:rPr>
      </w:pPr>
      <w:r w:rsidRPr="00FF2486">
        <w:rPr>
          <w:rFonts w:ascii="Arial" w:hAnsi="Arial" w:cs="Arial"/>
          <w:b/>
          <w:bCs/>
          <w:sz w:val="20"/>
          <w:szCs w:val="20"/>
        </w:rPr>
        <w:t>DoD P&amp;T Class:</w:t>
      </w:r>
      <w:r w:rsidRPr="00FF2486">
        <w:rPr>
          <w:b/>
          <w:bCs/>
          <w:color w:val="333366"/>
          <w:sz w:val="20"/>
          <w:szCs w:val="20"/>
        </w:rPr>
        <w:t xml:space="preserve"> </w:t>
      </w:r>
      <w:r>
        <w:rPr>
          <w:rFonts w:ascii="Arial" w:hAnsi="Arial" w:cs="Arial"/>
          <w:b/>
          <w:bCs/>
          <w:color w:val="FF0000"/>
          <w:sz w:val="20"/>
          <w:szCs w:val="20"/>
        </w:rPr>
        <w:t>ANTIFUNGAL AGENTS</w:t>
      </w:r>
    </w:p>
    <w:p w:rsidR="00185AF0" w:rsidRPr="00FF2486" w:rsidRDefault="00185AF0" w:rsidP="00185AF0">
      <w:pPr>
        <w:spacing w:after="60"/>
        <w:rPr>
          <w:rFonts w:ascii="Arial" w:hAnsi="Arial" w:cs="Arial"/>
          <w:b/>
          <w:bCs/>
          <w:sz w:val="20"/>
          <w:szCs w:val="20"/>
        </w:rPr>
      </w:pPr>
      <w:r w:rsidRPr="00FF2486">
        <w:rPr>
          <w:rFonts w:ascii="Arial" w:hAnsi="Arial" w:cs="Arial"/>
          <w:b/>
          <w:bCs/>
          <w:sz w:val="20"/>
          <w:szCs w:val="20"/>
        </w:rPr>
        <w:t xml:space="preserve">DoD P&amp;T Sub-Class: </w:t>
      </w:r>
      <w:r>
        <w:rPr>
          <w:rFonts w:ascii="Arial" w:hAnsi="Arial" w:cs="Arial"/>
          <w:b/>
          <w:bCs/>
          <w:color w:val="FF0000"/>
          <w:sz w:val="20"/>
          <w:szCs w:val="20"/>
        </w:rPr>
        <w:t>TOPICAL LACQUERS</w:t>
      </w:r>
    </w:p>
    <w:tbl>
      <w:tblPr>
        <w:tblW w:w="277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tblGrid>
      <w:tr w:rsidR="00FF2486" w:rsidRPr="00FF2486" w:rsidTr="00853CDF">
        <w:trPr>
          <w:trHeight w:val="255"/>
        </w:trPr>
        <w:tc>
          <w:tcPr>
            <w:tcW w:w="2776" w:type="dxa"/>
            <w:shd w:val="clear" w:color="FFFFFF" w:fill="auto"/>
            <w:noWrap/>
            <w:vAlign w:val="center"/>
          </w:tcPr>
          <w:p w:rsidR="00FF2486" w:rsidRDefault="00185AF0">
            <w:pPr>
              <w:rPr>
                <w:rFonts w:ascii="Arial" w:hAnsi="Arial" w:cs="Arial"/>
                <w:sz w:val="20"/>
                <w:szCs w:val="20"/>
              </w:rPr>
            </w:pPr>
            <w:r>
              <w:rPr>
                <w:rFonts w:ascii="Arial" w:hAnsi="Arial" w:cs="Arial"/>
                <w:sz w:val="20"/>
                <w:szCs w:val="20"/>
              </w:rPr>
              <w:t>JUBLIA</w:t>
            </w:r>
          </w:p>
        </w:tc>
      </w:tr>
      <w:tr w:rsidR="00FF2486" w:rsidRPr="00FF2486" w:rsidTr="00853CDF">
        <w:trPr>
          <w:trHeight w:val="255"/>
        </w:trPr>
        <w:tc>
          <w:tcPr>
            <w:tcW w:w="2776" w:type="dxa"/>
            <w:shd w:val="clear" w:color="FFFFFF" w:fill="auto"/>
            <w:noWrap/>
            <w:vAlign w:val="center"/>
          </w:tcPr>
          <w:p w:rsidR="00FF2486" w:rsidRDefault="00185AF0">
            <w:pPr>
              <w:rPr>
                <w:rFonts w:ascii="Arial" w:hAnsi="Arial" w:cs="Arial"/>
                <w:sz w:val="20"/>
                <w:szCs w:val="20"/>
              </w:rPr>
            </w:pPr>
            <w:r>
              <w:rPr>
                <w:rFonts w:ascii="Arial" w:hAnsi="Arial" w:cs="Arial"/>
                <w:sz w:val="20"/>
                <w:szCs w:val="20"/>
              </w:rPr>
              <w:t>KERYDIN</w:t>
            </w:r>
          </w:p>
        </w:tc>
      </w:tr>
    </w:tbl>
    <w:p w:rsidR="00D069D1" w:rsidRDefault="00D069D1" w:rsidP="00D069D1">
      <w:pPr>
        <w:pStyle w:val="Default"/>
        <w:rPr>
          <w:rFonts w:ascii="Arial" w:hAnsi="Arial" w:cs="Arial"/>
          <w:b/>
          <w:bCs/>
          <w:sz w:val="20"/>
          <w:szCs w:val="20"/>
        </w:rPr>
      </w:pPr>
    </w:p>
    <w:p w:rsidR="005B6FC6" w:rsidRDefault="00D069D1" w:rsidP="005B6FC6">
      <w:pPr>
        <w:pStyle w:val="Default"/>
        <w:rPr>
          <w:rFonts w:ascii="Arial" w:hAnsi="Arial" w:cs="Arial"/>
          <w:b/>
          <w:bCs/>
          <w:sz w:val="20"/>
          <w:szCs w:val="20"/>
        </w:rPr>
      </w:pPr>
      <w:r w:rsidRPr="00FF2486">
        <w:rPr>
          <w:rFonts w:ascii="Arial" w:hAnsi="Arial" w:cs="Arial"/>
          <w:b/>
          <w:bCs/>
          <w:sz w:val="20"/>
          <w:szCs w:val="20"/>
        </w:rPr>
        <w:t>DoD P&amp;T Class:</w:t>
      </w:r>
      <w:r w:rsidRPr="00FF2486">
        <w:rPr>
          <w:b/>
          <w:bCs/>
          <w:color w:val="333366"/>
          <w:sz w:val="20"/>
          <w:szCs w:val="20"/>
        </w:rPr>
        <w:t xml:space="preserve"> </w:t>
      </w:r>
      <w:r w:rsidR="005B6FC6" w:rsidRPr="005B6FC6">
        <w:rPr>
          <w:rFonts w:ascii="Arial" w:hAnsi="Arial" w:cs="Arial"/>
          <w:b/>
          <w:bCs/>
          <w:caps/>
          <w:color w:val="FF0000"/>
          <w:sz w:val="20"/>
          <w:szCs w:val="20"/>
        </w:rPr>
        <w:t>OPhthalmic anti-inflammatory/immunomodulatory agents</w:t>
      </w:r>
    </w:p>
    <w:p w:rsidR="00D069D1" w:rsidRPr="00FF2486" w:rsidRDefault="00D069D1" w:rsidP="005B6FC6">
      <w:pPr>
        <w:pStyle w:val="Default"/>
        <w:rPr>
          <w:rFonts w:ascii="Arial" w:hAnsi="Arial" w:cs="Arial"/>
          <w:b/>
          <w:bCs/>
          <w:sz w:val="20"/>
          <w:szCs w:val="20"/>
        </w:rPr>
      </w:pPr>
      <w:r w:rsidRPr="00FF2486">
        <w:rPr>
          <w:rFonts w:ascii="Arial" w:hAnsi="Arial" w:cs="Arial"/>
          <w:b/>
          <w:bCs/>
          <w:sz w:val="20"/>
          <w:szCs w:val="20"/>
        </w:rPr>
        <w:t xml:space="preserve">DoD P&amp;T Sub-Class: </w:t>
      </w:r>
      <w:r w:rsidRPr="005B6FC6">
        <w:rPr>
          <w:rFonts w:ascii="Arial" w:hAnsi="Arial" w:cs="Arial"/>
          <w:b/>
          <w:bCs/>
          <w:caps/>
          <w:color w:val="FF0000"/>
          <w:sz w:val="20"/>
          <w:szCs w:val="20"/>
        </w:rPr>
        <w:t>O</w:t>
      </w:r>
      <w:r w:rsidR="005B6FC6" w:rsidRPr="005B6FC6">
        <w:rPr>
          <w:rFonts w:ascii="Arial" w:hAnsi="Arial" w:cs="Arial"/>
          <w:b/>
          <w:bCs/>
          <w:caps/>
          <w:color w:val="FF0000"/>
          <w:sz w:val="20"/>
          <w:szCs w:val="20"/>
        </w:rPr>
        <w:t>phthalmic immunomodulatory agents</w:t>
      </w:r>
    </w:p>
    <w:tbl>
      <w:tblPr>
        <w:tblW w:w="277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tblGrid>
      <w:tr w:rsidR="00D069D1" w:rsidRPr="00FF2486" w:rsidTr="00157E87">
        <w:trPr>
          <w:trHeight w:val="255"/>
        </w:trPr>
        <w:tc>
          <w:tcPr>
            <w:tcW w:w="2776" w:type="dxa"/>
            <w:shd w:val="clear" w:color="FFFFFF" w:fill="auto"/>
            <w:noWrap/>
            <w:vAlign w:val="center"/>
          </w:tcPr>
          <w:p w:rsidR="00D069D1" w:rsidRDefault="00D069D1" w:rsidP="00157E87">
            <w:pPr>
              <w:rPr>
                <w:rFonts w:ascii="Arial" w:hAnsi="Arial" w:cs="Arial"/>
                <w:sz w:val="20"/>
                <w:szCs w:val="20"/>
              </w:rPr>
            </w:pPr>
            <w:r>
              <w:rPr>
                <w:rFonts w:ascii="Arial" w:hAnsi="Arial" w:cs="Arial"/>
                <w:sz w:val="20"/>
                <w:szCs w:val="20"/>
              </w:rPr>
              <w:t>RESTASIS</w:t>
            </w:r>
          </w:p>
        </w:tc>
      </w:tr>
    </w:tbl>
    <w:p w:rsidR="00853CDF" w:rsidRPr="00FF2486" w:rsidRDefault="00853CDF" w:rsidP="00853CDF">
      <w:pPr>
        <w:spacing w:after="60"/>
        <w:rPr>
          <w:rFonts w:ascii="Arial" w:hAnsi="Arial" w:cs="Arial"/>
          <w:b/>
          <w:bCs/>
          <w:sz w:val="20"/>
          <w:szCs w:val="20"/>
        </w:rPr>
      </w:pPr>
    </w:p>
    <w:p w:rsidR="00577E38" w:rsidRPr="0034339B" w:rsidRDefault="00577E38" w:rsidP="00577E38">
      <w:pPr>
        <w:spacing w:after="60"/>
        <w:rPr>
          <w:rFonts w:ascii="Arial" w:hAnsi="Arial" w:cs="Arial"/>
          <w:b/>
          <w:bCs/>
          <w:sz w:val="22"/>
          <w:szCs w:val="22"/>
          <w:u w:val="single"/>
        </w:rPr>
      </w:pPr>
      <w:r w:rsidRPr="0034339B">
        <w:rPr>
          <w:rFonts w:ascii="Arial" w:hAnsi="Arial" w:cs="Arial"/>
          <w:b/>
          <w:bCs/>
          <w:sz w:val="22"/>
          <w:szCs w:val="22"/>
          <w:u w:val="single"/>
        </w:rPr>
        <w:t>Uniform Formulary Considerations</w:t>
      </w:r>
      <w:r w:rsidR="008A2E0F" w:rsidRPr="0034339B">
        <w:rPr>
          <w:rFonts w:ascii="Arial" w:hAnsi="Arial" w:cs="Arial"/>
          <w:b/>
          <w:bCs/>
          <w:sz w:val="22"/>
          <w:szCs w:val="22"/>
          <w:u w:val="single"/>
        </w:rPr>
        <w:t xml:space="preserve"> and Evaluation Criteria</w:t>
      </w:r>
    </w:p>
    <w:p w:rsidR="00577E38" w:rsidRDefault="00577E38" w:rsidP="00577E38">
      <w:pPr>
        <w:spacing w:after="60"/>
        <w:rPr>
          <w:rFonts w:ascii="Arial" w:hAnsi="Arial" w:cs="Arial"/>
          <w:sz w:val="20"/>
          <w:szCs w:val="20"/>
        </w:rPr>
      </w:pPr>
      <w:r w:rsidRPr="0034339B">
        <w:rPr>
          <w:rFonts w:ascii="Arial" w:hAnsi="Arial" w:cs="Arial"/>
          <w:sz w:val="20"/>
          <w:szCs w:val="20"/>
        </w:rPr>
        <w:t xml:space="preserve">In accordance with 32 CFR 199.21, the </w:t>
      </w:r>
      <w:r w:rsidR="00916F7D" w:rsidRPr="0034339B">
        <w:rPr>
          <w:rFonts w:ascii="Arial" w:hAnsi="Arial" w:cs="Arial"/>
          <w:sz w:val="20"/>
          <w:szCs w:val="20"/>
        </w:rPr>
        <w:t xml:space="preserve">DoD </w:t>
      </w:r>
      <w:r w:rsidRPr="0034339B">
        <w:rPr>
          <w:rFonts w:ascii="Arial" w:hAnsi="Arial" w:cs="Arial"/>
          <w:sz w:val="20"/>
          <w:szCs w:val="20"/>
        </w:rPr>
        <w:t xml:space="preserve">P&amp;T Committee will consider the relative clinical effectiveness and relative cost effectiveness of this class in recommending a cost share tier classification (i.e., generic, formulary, or non-formulary) for each agent.  There is no minimum or maximum number of agents that may be placed in a given cost share tier classification, though you </w:t>
      </w:r>
      <w:r w:rsidR="008A2E0F" w:rsidRPr="0034339B">
        <w:rPr>
          <w:rFonts w:ascii="Arial" w:hAnsi="Arial" w:cs="Arial"/>
          <w:sz w:val="20"/>
          <w:szCs w:val="20"/>
        </w:rPr>
        <w:t>may</w:t>
      </w:r>
      <w:r w:rsidRPr="0034339B">
        <w:rPr>
          <w:rFonts w:ascii="Arial" w:hAnsi="Arial" w:cs="Arial"/>
          <w:sz w:val="20"/>
          <w:szCs w:val="20"/>
        </w:rPr>
        <w:t xml:space="preserve"> submit multiple quotes based on different condition</w:t>
      </w:r>
      <w:r w:rsidR="001D69F8" w:rsidRPr="0034339B">
        <w:rPr>
          <w:rFonts w:ascii="Arial" w:hAnsi="Arial" w:cs="Arial"/>
          <w:sz w:val="20"/>
          <w:szCs w:val="20"/>
        </w:rPr>
        <w:t xml:space="preserve"> </w:t>
      </w:r>
      <w:r w:rsidRPr="0034339B">
        <w:rPr>
          <w:rFonts w:ascii="Arial" w:hAnsi="Arial" w:cs="Arial"/>
          <w:sz w:val="20"/>
          <w:szCs w:val="20"/>
        </w:rPr>
        <w:t>s</w:t>
      </w:r>
      <w:r w:rsidR="001D69F8" w:rsidRPr="0034339B">
        <w:rPr>
          <w:rFonts w:ascii="Arial" w:hAnsi="Arial" w:cs="Arial"/>
          <w:sz w:val="20"/>
          <w:szCs w:val="20"/>
        </w:rPr>
        <w:t>ets</w:t>
      </w:r>
      <w:r w:rsidRPr="0034339B">
        <w:rPr>
          <w:rFonts w:ascii="Arial" w:hAnsi="Arial" w:cs="Arial"/>
          <w:sz w:val="20"/>
          <w:szCs w:val="20"/>
        </w:rPr>
        <w:t xml:space="preserve"> (See NOTE above and UF </w:t>
      </w:r>
      <w:r w:rsidR="00916F7D" w:rsidRPr="0034339B">
        <w:rPr>
          <w:rFonts w:ascii="Arial" w:hAnsi="Arial" w:cs="Arial"/>
          <w:sz w:val="20"/>
          <w:szCs w:val="20"/>
        </w:rPr>
        <w:t xml:space="preserve">BPA </w:t>
      </w:r>
      <w:r w:rsidRPr="0034339B">
        <w:rPr>
          <w:rFonts w:ascii="Arial" w:hAnsi="Arial" w:cs="Arial"/>
          <w:sz w:val="20"/>
          <w:szCs w:val="20"/>
        </w:rPr>
        <w:t xml:space="preserve">and </w:t>
      </w:r>
      <w:r w:rsidR="00916F7D" w:rsidRPr="0034339B">
        <w:rPr>
          <w:rFonts w:ascii="Arial" w:hAnsi="Arial" w:cs="Arial"/>
          <w:sz w:val="20"/>
          <w:szCs w:val="20"/>
        </w:rPr>
        <w:t>UF VARR</w:t>
      </w:r>
      <w:r w:rsidRPr="0034339B">
        <w:rPr>
          <w:rFonts w:ascii="Arial" w:hAnsi="Arial" w:cs="Arial"/>
          <w:sz w:val="20"/>
          <w:szCs w:val="20"/>
        </w:rPr>
        <w:t xml:space="preserve"> Quotes section below</w:t>
      </w:r>
      <w:r>
        <w:rPr>
          <w:rFonts w:ascii="Arial" w:hAnsi="Arial" w:cs="Arial"/>
          <w:sz w:val="20"/>
          <w:szCs w:val="20"/>
        </w:rPr>
        <w:t>).  Although all the formulations (dosage forms and/or strengths) for a given agent would typically be recommended for the same cost share tier classification, the</w:t>
      </w:r>
      <w:r w:rsidR="00D97FBC">
        <w:rPr>
          <w:rFonts w:ascii="Arial" w:hAnsi="Arial" w:cs="Arial"/>
          <w:sz w:val="20"/>
          <w:szCs w:val="20"/>
        </w:rPr>
        <w:t xml:space="preserve"> </w:t>
      </w:r>
      <w:r w:rsidR="001D69F8">
        <w:rPr>
          <w:rFonts w:ascii="Arial" w:hAnsi="Arial" w:cs="Arial"/>
          <w:sz w:val="20"/>
          <w:szCs w:val="20"/>
        </w:rPr>
        <w:t xml:space="preserve">DoD P&amp;T </w:t>
      </w:r>
      <w:r>
        <w:rPr>
          <w:rFonts w:ascii="Arial" w:hAnsi="Arial" w:cs="Arial"/>
          <w:sz w:val="20"/>
          <w:szCs w:val="20"/>
        </w:rPr>
        <w:t xml:space="preserve">Committee reserves the right to recommend different cost share tier classifications for a particular formulation of a given agent if the </w:t>
      </w:r>
      <w:r w:rsidR="001D69F8">
        <w:rPr>
          <w:rFonts w:ascii="Arial" w:hAnsi="Arial" w:cs="Arial"/>
          <w:sz w:val="20"/>
          <w:szCs w:val="20"/>
        </w:rPr>
        <w:t xml:space="preserve">DoD P&amp;T </w:t>
      </w:r>
      <w:r>
        <w:rPr>
          <w:rFonts w:ascii="Arial" w:hAnsi="Arial" w:cs="Arial"/>
          <w:sz w:val="20"/>
          <w:szCs w:val="20"/>
        </w:rPr>
        <w:t>Committee finds significant differences in the clinical effectiveness or cost effectiveness between formulations of a given agent.</w:t>
      </w:r>
    </w:p>
    <w:p w:rsidR="00670420" w:rsidRDefault="00670420" w:rsidP="00577E38">
      <w:pPr>
        <w:spacing w:after="60"/>
        <w:rPr>
          <w:rFonts w:ascii="Arial" w:hAnsi="Arial" w:cs="Arial"/>
          <w:b/>
          <w:bCs/>
          <w:sz w:val="22"/>
          <w:szCs w:val="22"/>
        </w:rPr>
      </w:pPr>
    </w:p>
    <w:p w:rsidR="00577E38" w:rsidRPr="00580BB8" w:rsidRDefault="00577E38" w:rsidP="00577E38">
      <w:pPr>
        <w:spacing w:after="60"/>
        <w:rPr>
          <w:rFonts w:ascii="Arial" w:hAnsi="Arial" w:cs="Arial"/>
          <w:b/>
          <w:bCs/>
          <w:sz w:val="22"/>
          <w:szCs w:val="22"/>
          <w:u w:val="single"/>
        </w:rPr>
      </w:pPr>
      <w:r w:rsidRPr="00580BB8">
        <w:rPr>
          <w:rFonts w:ascii="Arial" w:hAnsi="Arial" w:cs="Arial"/>
          <w:b/>
          <w:bCs/>
          <w:sz w:val="22"/>
          <w:szCs w:val="22"/>
          <w:u w:val="single"/>
        </w:rPr>
        <w:t>Basic Core Formulary (BCF) and Extended Core Formulary (ECF) Considerations</w:t>
      </w:r>
    </w:p>
    <w:p w:rsidR="00577E38" w:rsidRDefault="00577E38" w:rsidP="00577E38">
      <w:pPr>
        <w:spacing w:after="60"/>
        <w:rPr>
          <w:rFonts w:ascii="Arial" w:hAnsi="Arial" w:cs="Arial"/>
          <w:sz w:val="20"/>
          <w:szCs w:val="20"/>
        </w:rPr>
      </w:pPr>
      <w:r>
        <w:rPr>
          <w:rFonts w:ascii="Arial" w:hAnsi="Arial" w:cs="Arial"/>
          <w:sz w:val="20"/>
          <w:szCs w:val="20"/>
        </w:rPr>
        <w:t>All agents recommended for the generic</w:t>
      </w:r>
      <w:r w:rsidR="00916F7D">
        <w:rPr>
          <w:rFonts w:ascii="Arial" w:hAnsi="Arial" w:cs="Arial"/>
          <w:sz w:val="20"/>
          <w:szCs w:val="20"/>
        </w:rPr>
        <w:t xml:space="preserve"> (Tier 1)</w:t>
      </w:r>
      <w:r>
        <w:rPr>
          <w:rFonts w:ascii="Arial" w:hAnsi="Arial" w:cs="Arial"/>
          <w:sz w:val="20"/>
          <w:szCs w:val="20"/>
        </w:rPr>
        <w:t xml:space="preserve"> or formulary</w:t>
      </w:r>
      <w:r w:rsidR="00916F7D">
        <w:rPr>
          <w:rFonts w:ascii="Arial" w:hAnsi="Arial" w:cs="Arial"/>
          <w:sz w:val="20"/>
          <w:szCs w:val="20"/>
        </w:rPr>
        <w:t xml:space="preserve"> (Tier 2)</w:t>
      </w:r>
      <w:r>
        <w:rPr>
          <w:rFonts w:ascii="Arial" w:hAnsi="Arial" w:cs="Arial"/>
          <w:sz w:val="20"/>
          <w:szCs w:val="20"/>
        </w:rPr>
        <w:t xml:space="preserve"> cost share tier on the Uniform Formulary will be considered for inclusion on the BCF/ECF.  The DoD P&amp;T Committee intentions for the number of BCF/ECF agents in each class and subclass are listed below.</w:t>
      </w:r>
    </w:p>
    <w:p w:rsidR="00577E38" w:rsidRDefault="00577E38" w:rsidP="00577E38">
      <w:pPr>
        <w:spacing w:after="60"/>
        <w:rPr>
          <w:rFonts w:ascii="Arial" w:hAnsi="Arial" w:cs="Arial"/>
          <w:sz w:val="20"/>
          <w:szCs w:val="20"/>
        </w:rPr>
      </w:pPr>
    </w:p>
    <w:p w:rsidR="00577E38" w:rsidRPr="00580BB8" w:rsidRDefault="00577E38" w:rsidP="00577E38">
      <w:pPr>
        <w:spacing w:after="60"/>
        <w:rPr>
          <w:rFonts w:ascii="Arial" w:hAnsi="Arial" w:cs="Arial"/>
          <w:sz w:val="20"/>
          <w:szCs w:val="20"/>
          <w:u w:val="single"/>
        </w:rPr>
      </w:pPr>
      <w:r w:rsidRPr="00580BB8">
        <w:rPr>
          <w:rFonts w:ascii="Arial" w:hAnsi="Arial" w:cs="Arial"/>
          <w:b/>
          <w:bCs/>
          <w:sz w:val="22"/>
          <w:szCs w:val="22"/>
          <w:u w:val="single"/>
        </w:rPr>
        <w:t>UF BPA and UF VARR Quotes</w:t>
      </w:r>
    </w:p>
    <w:p w:rsidR="00577E38" w:rsidRPr="0034339B" w:rsidRDefault="00577E38" w:rsidP="00577E38">
      <w:pPr>
        <w:spacing w:after="60"/>
        <w:rPr>
          <w:rFonts w:ascii="Arial" w:hAnsi="Arial" w:cs="Arial"/>
          <w:sz w:val="20"/>
          <w:szCs w:val="20"/>
        </w:rPr>
      </w:pPr>
      <w:r>
        <w:rPr>
          <w:rFonts w:ascii="Arial" w:hAnsi="Arial" w:cs="Arial"/>
          <w:sz w:val="20"/>
          <w:szCs w:val="20"/>
        </w:rPr>
        <w:lastRenderedPageBreak/>
        <w:t>At this time, DoD will accept price quotes using two different instruments: the UF BPA price quote and the UF VARR quote.  Pharmaceutical companies must use the UF BPA price quote for prices that will apply to MTFs and the Mail Order Pharmacy.  Pharmaceutical companies must use the UF VARR quote for refunds that will apply to pharmaceuticals dispensed by pharmacies in the Retail Pharmacy Network.  While generally similar, each instrument has specific instructions and different submission details.</w:t>
      </w:r>
      <w:r>
        <w:rPr>
          <w:rFonts w:ascii="Arial" w:hAnsi="Arial" w:cs="Arial"/>
          <w:sz w:val="20"/>
          <w:szCs w:val="20"/>
        </w:rPr>
        <w:br/>
      </w:r>
      <w:r>
        <w:rPr>
          <w:rFonts w:ascii="Arial" w:hAnsi="Arial" w:cs="Arial"/>
          <w:sz w:val="20"/>
          <w:szCs w:val="20"/>
        </w:rPr>
        <w:br/>
      </w:r>
      <w:r w:rsidRPr="0034339B">
        <w:rPr>
          <w:rFonts w:ascii="Arial" w:hAnsi="Arial" w:cs="Arial"/>
          <w:b/>
          <w:sz w:val="20"/>
          <w:szCs w:val="20"/>
          <w:u w:val="single"/>
        </w:rPr>
        <w:t>Price Quotes for MTFs and Mail Order Pharmacy</w:t>
      </w:r>
      <w:r w:rsidR="00916F7D" w:rsidRPr="0034339B">
        <w:rPr>
          <w:rFonts w:ascii="Arial" w:hAnsi="Arial" w:cs="Arial"/>
          <w:sz w:val="20"/>
          <w:szCs w:val="20"/>
        </w:rPr>
        <w:t xml:space="preserve"> – (</w:t>
      </w:r>
      <w:r w:rsidRPr="0034339B">
        <w:rPr>
          <w:rFonts w:ascii="Arial" w:hAnsi="Arial" w:cs="Arial"/>
          <w:sz w:val="20"/>
          <w:szCs w:val="20"/>
        </w:rPr>
        <w:t xml:space="preserve">Price Quote Instrument: </w:t>
      </w:r>
      <w:r w:rsidRPr="0034339B">
        <w:rPr>
          <w:rFonts w:ascii="Arial" w:hAnsi="Arial" w:cs="Arial"/>
          <w:b/>
          <w:bCs/>
          <w:sz w:val="20"/>
          <w:szCs w:val="20"/>
        </w:rPr>
        <w:t>UF BPA</w:t>
      </w:r>
      <w:r w:rsidR="00916F7D" w:rsidRPr="0034339B">
        <w:rPr>
          <w:rFonts w:ascii="Arial" w:hAnsi="Arial" w:cs="Arial"/>
          <w:bCs/>
          <w:sz w:val="20"/>
          <w:szCs w:val="20"/>
        </w:rPr>
        <w:t>)</w:t>
      </w:r>
      <w:r w:rsidRPr="0034339B">
        <w:rPr>
          <w:rFonts w:ascii="Arial" w:hAnsi="Arial" w:cs="Arial"/>
          <w:sz w:val="20"/>
          <w:szCs w:val="20"/>
        </w:rPr>
        <w:br/>
      </w:r>
      <w:r w:rsidRPr="0034339B">
        <w:rPr>
          <w:rFonts w:ascii="Arial" w:hAnsi="Arial" w:cs="Arial"/>
          <w:sz w:val="20"/>
          <w:szCs w:val="20"/>
        </w:rPr>
        <w:br/>
        <w:t xml:space="preserve">The item descriptions and NDC numbers for this class that are covered by FSS contracts are listed in the class utilization dataset. A UF BPA price quote for </w:t>
      </w:r>
      <w:r w:rsidR="008A2E0F" w:rsidRPr="0034339B">
        <w:rPr>
          <w:rFonts w:ascii="Arial" w:hAnsi="Arial" w:cs="Arial"/>
          <w:sz w:val="20"/>
          <w:szCs w:val="20"/>
        </w:rPr>
        <w:t>a given agent</w:t>
      </w:r>
      <w:r w:rsidRPr="0034339B">
        <w:rPr>
          <w:rFonts w:ascii="Arial" w:hAnsi="Arial" w:cs="Arial"/>
          <w:sz w:val="20"/>
          <w:szCs w:val="20"/>
        </w:rPr>
        <w:t xml:space="preserve"> must include all the NDCs that are included on the FSS contract, </w:t>
      </w:r>
      <w:r w:rsidRPr="0034339B">
        <w:rPr>
          <w:rFonts w:ascii="Arial" w:hAnsi="Arial" w:cs="Arial"/>
          <w:b/>
          <w:bCs/>
          <w:sz w:val="20"/>
          <w:szCs w:val="20"/>
        </w:rPr>
        <w:t>unless a reque</w:t>
      </w:r>
      <w:r w:rsidR="008A2E0F" w:rsidRPr="0034339B">
        <w:rPr>
          <w:rFonts w:ascii="Arial" w:hAnsi="Arial" w:cs="Arial"/>
          <w:b/>
          <w:bCs/>
          <w:sz w:val="20"/>
          <w:szCs w:val="20"/>
        </w:rPr>
        <w:t xml:space="preserve">st to exclude a specific NDC is submitted in advance and </w:t>
      </w:r>
      <w:r w:rsidRPr="0034339B">
        <w:rPr>
          <w:rFonts w:ascii="Arial" w:hAnsi="Arial" w:cs="Arial"/>
          <w:b/>
          <w:bCs/>
          <w:sz w:val="20"/>
          <w:szCs w:val="20"/>
        </w:rPr>
        <w:t xml:space="preserve">approved by the </w:t>
      </w:r>
      <w:r w:rsidR="00822885" w:rsidRPr="0034339B">
        <w:rPr>
          <w:rFonts w:ascii="Arial" w:hAnsi="Arial" w:cs="Arial"/>
          <w:b/>
          <w:bCs/>
          <w:sz w:val="20"/>
          <w:szCs w:val="20"/>
        </w:rPr>
        <w:t>DHA</w:t>
      </w:r>
      <w:r w:rsidR="008A2E0F" w:rsidRPr="0034339B">
        <w:rPr>
          <w:rFonts w:ascii="Arial" w:hAnsi="Arial" w:cs="Arial"/>
          <w:b/>
          <w:bCs/>
          <w:sz w:val="20"/>
          <w:szCs w:val="20"/>
        </w:rPr>
        <w:t xml:space="preserve"> C</w:t>
      </w:r>
      <w:r w:rsidRPr="0034339B">
        <w:rPr>
          <w:rFonts w:ascii="Arial" w:hAnsi="Arial" w:cs="Arial"/>
          <w:b/>
          <w:bCs/>
          <w:sz w:val="20"/>
          <w:szCs w:val="20"/>
        </w:rPr>
        <w:t xml:space="preserve">ontracting </w:t>
      </w:r>
      <w:r w:rsidR="008A2E0F" w:rsidRPr="0034339B">
        <w:rPr>
          <w:rFonts w:ascii="Arial" w:hAnsi="Arial" w:cs="Arial"/>
          <w:b/>
          <w:bCs/>
          <w:sz w:val="20"/>
          <w:szCs w:val="20"/>
        </w:rPr>
        <w:t>O</w:t>
      </w:r>
      <w:r w:rsidRPr="0034339B">
        <w:rPr>
          <w:rFonts w:ascii="Arial" w:hAnsi="Arial" w:cs="Arial"/>
          <w:b/>
          <w:bCs/>
          <w:sz w:val="20"/>
          <w:szCs w:val="20"/>
        </w:rPr>
        <w:t>fficer in writing</w:t>
      </w:r>
      <w:r w:rsidRPr="0034339B">
        <w:rPr>
          <w:rFonts w:ascii="Arial" w:hAnsi="Arial" w:cs="Arial"/>
          <w:sz w:val="20"/>
          <w:szCs w:val="20"/>
        </w:rPr>
        <w:t>.</w:t>
      </w:r>
      <w:r w:rsidRPr="0034339B">
        <w:rPr>
          <w:rFonts w:ascii="Arial" w:hAnsi="Arial" w:cs="Arial"/>
          <w:sz w:val="20"/>
          <w:szCs w:val="20"/>
        </w:rPr>
        <w:br/>
      </w:r>
    </w:p>
    <w:p w:rsidR="00670420" w:rsidRPr="0034339B" w:rsidRDefault="00577E38" w:rsidP="00D97FBC">
      <w:pPr>
        <w:spacing w:after="60"/>
        <w:rPr>
          <w:rFonts w:ascii="Arial" w:hAnsi="Arial" w:cs="Arial"/>
          <w:sz w:val="20"/>
          <w:szCs w:val="20"/>
        </w:rPr>
      </w:pPr>
      <w:r w:rsidRPr="0034339B">
        <w:rPr>
          <w:rFonts w:ascii="Arial" w:hAnsi="Arial" w:cs="Arial"/>
          <w:sz w:val="20"/>
          <w:szCs w:val="20"/>
        </w:rPr>
        <w:t xml:space="preserve">The prices submitted in the UF BPA price quotes will be contingent upon the number of agents selected for the UF and BCF/ECF. Pharmaceutical companies that submit UF BPA price quotes </w:t>
      </w:r>
      <w:r w:rsidR="004379DF" w:rsidRPr="0034339B">
        <w:rPr>
          <w:rFonts w:ascii="Arial" w:hAnsi="Arial" w:cs="Arial"/>
          <w:b/>
          <w:bCs/>
          <w:sz w:val="20"/>
          <w:szCs w:val="20"/>
        </w:rPr>
        <w:t>must submit a separate pricing appendix</w:t>
      </w:r>
      <w:r w:rsidRPr="0034339B">
        <w:rPr>
          <w:rFonts w:ascii="Arial" w:hAnsi="Arial" w:cs="Arial"/>
          <w:b/>
          <w:bCs/>
          <w:sz w:val="20"/>
          <w:szCs w:val="20"/>
        </w:rPr>
        <w:t xml:space="preserve"> for each NDC</w:t>
      </w:r>
      <w:r w:rsidRPr="0034339B">
        <w:rPr>
          <w:rFonts w:ascii="Arial" w:hAnsi="Arial" w:cs="Arial"/>
          <w:sz w:val="20"/>
          <w:szCs w:val="20"/>
        </w:rPr>
        <w:t xml:space="preserve">. This will ensure that a company will have a valid price quote for whatever </w:t>
      </w:r>
      <w:r w:rsidR="00580BB8" w:rsidRPr="0034339B">
        <w:rPr>
          <w:rFonts w:ascii="Arial" w:hAnsi="Arial" w:cs="Arial"/>
          <w:sz w:val="20"/>
          <w:szCs w:val="20"/>
        </w:rPr>
        <w:t xml:space="preserve">number of agents is </w:t>
      </w:r>
      <w:r w:rsidRPr="0034339B">
        <w:rPr>
          <w:rFonts w:ascii="Arial" w:hAnsi="Arial" w:cs="Arial"/>
          <w:sz w:val="20"/>
          <w:szCs w:val="20"/>
        </w:rPr>
        <w:t xml:space="preserve">recommended for inclusion on the UF and/or BCF/ECF. </w:t>
      </w:r>
      <w:r w:rsidR="004379DF" w:rsidRPr="0034339B">
        <w:rPr>
          <w:rFonts w:ascii="Arial" w:hAnsi="Arial" w:cs="Arial"/>
          <w:sz w:val="20"/>
          <w:szCs w:val="20"/>
        </w:rPr>
        <w:t xml:space="preserve">Additionally, for </w:t>
      </w:r>
      <w:r w:rsidR="00580BB8" w:rsidRPr="0034339B">
        <w:rPr>
          <w:rFonts w:ascii="Arial" w:hAnsi="Arial" w:cs="Arial"/>
          <w:sz w:val="20"/>
          <w:szCs w:val="20"/>
        </w:rPr>
        <w:t xml:space="preserve">each agent that is quoted, there must be a signed UF BPA(for instance, if a pharmaceutical company provides pricing on two different agents, there must be two signed UF BPAs to accommodate). </w:t>
      </w:r>
    </w:p>
    <w:p w:rsidR="00580BB8" w:rsidRPr="0034339B" w:rsidRDefault="00580BB8" w:rsidP="00D97FBC">
      <w:pPr>
        <w:spacing w:after="60"/>
        <w:rPr>
          <w:rFonts w:ascii="Arial" w:hAnsi="Arial" w:cs="Arial"/>
          <w:sz w:val="20"/>
          <w:szCs w:val="20"/>
        </w:rPr>
      </w:pPr>
    </w:p>
    <w:p w:rsidR="00580BB8" w:rsidRPr="0034339B" w:rsidRDefault="003C0558" w:rsidP="00D97FBC">
      <w:pPr>
        <w:spacing w:after="60"/>
        <w:rPr>
          <w:rFonts w:ascii="Arial" w:hAnsi="Arial" w:cs="Arial"/>
          <w:sz w:val="20"/>
          <w:szCs w:val="20"/>
        </w:rPr>
      </w:pPr>
      <w:r w:rsidRPr="0034339B">
        <w:rPr>
          <w:rFonts w:ascii="Arial" w:hAnsi="Arial" w:cs="Arial"/>
          <w:sz w:val="20"/>
          <w:szCs w:val="20"/>
        </w:rPr>
        <w:t>On each pricing appendix, p</w:t>
      </w:r>
      <w:r w:rsidR="00580BB8" w:rsidRPr="0034339B">
        <w:rPr>
          <w:rFonts w:ascii="Arial" w:hAnsi="Arial" w:cs="Arial"/>
          <w:sz w:val="20"/>
          <w:szCs w:val="20"/>
        </w:rPr>
        <w:t>harmaceutical companies are required to provide a price per unit as well as a price per NDC(package price)</w:t>
      </w:r>
      <w:r w:rsidRPr="0034339B">
        <w:rPr>
          <w:rFonts w:ascii="Arial" w:hAnsi="Arial" w:cs="Arial"/>
          <w:sz w:val="20"/>
          <w:szCs w:val="20"/>
        </w:rPr>
        <w:t xml:space="preserve"> for each condition set</w:t>
      </w:r>
      <w:r w:rsidR="00580BB8" w:rsidRPr="0034339B">
        <w:rPr>
          <w:rFonts w:ascii="Arial" w:hAnsi="Arial" w:cs="Arial"/>
          <w:sz w:val="20"/>
          <w:szCs w:val="20"/>
        </w:rPr>
        <w:t xml:space="preserve">. </w:t>
      </w:r>
      <w:r w:rsidR="00580BB8" w:rsidRPr="0034339B">
        <w:rPr>
          <w:rFonts w:ascii="Arial" w:hAnsi="Arial" w:cs="Arial"/>
          <w:b/>
          <w:sz w:val="20"/>
          <w:szCs w:val="20"/>
        </w:rPr>
        <w:t>In the event there is a discrepancy between the two prices, the NDC price will be considered over the per unit price.</w:t>
      </w:r>
    </w:p>
    <w:p w:rsidR="00D97FBC" w:rsidRPr="0034339B" w:rsidRDefault="00D97FBC" w:rsidP="00D97FBC">
      <w:pPr>
        <w:spacing w:after="60"/>
        <w:rPr>
          <w:rFonts w:ascii="Arial" w:hAnsi="Arial" w:cs="Arial"/>
          <w:sz w:val="20"/>
          <w:szCs w:val="20"/>
        </w:rPr>
      </w:pPr>
    </w:p>
    <w:p w:rsidR="00577E38" w:rsidRDefault="00577E38" w:rsidP="00D97FBC">
      <w:pPr>
        <w:spacing w:after="60"/>
        <w:rPr>
          <w:rFonts w:ascii="Arial" w:hAnsi="Arial" w:cs="Arial"/>
          <w:sz w:val="20"/>
          <w:szCs w:val="20"/>
        </w:rPr>
      </w:pPr>
      <w:r w:rsidRPr="0034339B">
        <w:rPr>
          <w:rFonts w:ascii="Arial" w:hAnsi="Arial" w:cs="Arial"/>
          <w:b/>
          <w:sz w:val="20"/>
          <w:szCs w:val="20"/>
        </w:rPr>
        <w:t>The DoD P&amp;T Committee will not accept UF BPA price quotes that are contingent upon market shares.</w:t>
      </w:r>
      <w:r w:rsidRPr="0034339B">
        <w:rPr>
          <w:rFonts w:ascii="Arial" w:hAnsi="Arial" w:cs="Arial"/>
          <w:sz w:val="20"/>
          <w:szCs w:val="20"/>
        </w:rPr>
        <w:br/>
      </w:r>
      <w:r w:rsidRPr="0034339B">
        <w:rPr>
          <w:rFonts w:ascii="Arial" w:hAnsi="Arial" w:cs="Arial"/>
          <w:sz w:val="20"/>
          <w:szCs w:val="20"/>
        </w:rPr>
        <w:br/>
        <w:t xml:space="preserve">The DoD reserves the right to exclude specific formulations of a given class or agent from a submitted UF BPA quote based on the recommendations of the </w:t>
      </w:r>
      <w:r w:rsidR="001D69F8" w:rsidRPr="0034339B">
        <w:rPr>
          <w:rFonts w:ascii="Arial" w:hAnsi="Arial" w:cs="Arial"/>
          <w:sz w:val="20"/>
          <w:szCs w:val="20"/>
        </w:rPr>
        <w:t xml:space="preserve">DoD </w:t>
      </w:r>
      <w:r w:rsidRPr="0034339B">
        <w:rPr>
          <w:rFonts w:ascii="Arial" w:hAnsi="Arial" w:cs="Arial"/>
          <w:sz w:val="20"/>
          <w:szCs w:val="20"/>
        </w:rPr>
        <w:t>P&amp;T Committee and the final</w:t>
      </w:r>
      <w:r>
        <w:rPr>
          <w:rFonts w:ascii="Arial" w:hAnsi="Arial" w:cs="Arial"/>
          <w:sz w:val="20"/>
          <w:szCs w:val="20"/>
        </w:rPr>
        <w:t xml:space="preserve"> decision of the Director, </w:t>
      </w:r>
      <w:r w:rsidR="00822885">
        <w:rPr>
          <w:rFonts w:ascii="Arial" w:hAnsi="Arial" w:cs="Arial"/>
          <w:sz w:val="20"/>
          <w:szCs w:val="20"/>
        </w:rPr>
        <w:t>DHA</w:t>
      </w:r>
      <w:r>
        <w:rPr>
          <w:rFonts w:ascii="Arial" w:hAnsi="Arial" w:cs="Arial"/>
          <w:sz w:val="20"/>
          <w:szCs w:val="20"/>
        </w:rPr>
        <w:t>, regarding the UF and BCF/ECF for specific formulations of a given class or agent.</w:t>
      </w:r>
    </w:p>
    <w:p w:rsidR="00577E38" w:rsidRDefault="00577E38" w:rsidP="00577E38">
      <w:pPr>
        <w:spacing w:after="60"/>
        <w:rPr>
          <w:rFonts w:ascii="Arial" w:hAnsi="Arial" w:cs="Arial"/>
          <w:sz w:val="20"/>
          <w:szCs w:val="20"/>
        </w:rPr>
      </w:pPr>
    </w:p>
    <w:p w:rsidR="00577E38" w:rsidRDefault="00577E38" w:rsidP="00577E38">
      <w:pPr>
        <w:spacing w:after="60"/>
        <w:rPr>
          <w:rFonts w:ascii="Arial" w:hAnsi="Arial" w:cs="Arial"/>
          <w:sz w:val="20"/>
          <w:szCs w:val="20"/>
        </w:rPr>
      </w:pPr>
      <w:r>
        <w:rPr>
          <w:rFonts w:ascii="Arial" w:hAnsi="Arial" w:cs="Arial"/>
          <w:sz w:val="20"/>
          <w:szCs w:val="20"/>
        </w:rPr>
        <w:t xml:space="preserve">The establishment of a UF BPA with a pharmaceutical company for a generic (multi-source) pharmaceutical agent </w:t>
      </w:r>
      <w:r>
        <w:rPr>
          <w:rFonts w:ascii="Arial" w:hAnsi="Arial" w:cs="Arial"/>
          <w:b/>
          <w:sz w:val="20"/>
          <w:szCs w:val="20"/>
        </w:rPr>
        <w:t>does not</w:t>
      </w:r>
      <w:r>
        <w:rPr>
          <w:rFonts w:ascii="Arial" w:hAnsi="Arial" w:cs="Arial"/>
          <w:sz w:val="20"/>
          <w:szCs w:val="20"/>
        </w:rPr>
        <w:t xml:space="preserve"> establish that pharmaceutical company as the sole source of supply for the pharmaceutical agent. However, in the event of existing Joint DoD/VA contracts, </w:t>
      </w:r>
      <w:r w:rsidRPr="008B4B28">
        <w:rPr>
          <w:rFonts w:ascii="Arial" w:hAnsi="Arial" w:cs="Arial"/>
          <w:sz w:val="20"/>
          <w:szCs w:val="20"/>
          <w:u w:val="single"/>
        </w:rPr>
        <w:t>UF BPA quotes will not be accepted for generic (multi-source) pharmaceutical agents.</w:t>
      </w:r>
      <w:r w:rsidRPr="008B4B28">
        <w:rPr>
          <w:rFonts w:ascii="Arial" w:hAnsi="Arial" w:cs="Arial"/>
          <w:sz w:val="20"/>
          <w:szCs w:val="20"/>
          <w:u w:val="single"/>
        </w:rPr>
        <w:br/>
      </w:r>
      <w:r>
        <w:rPr>
          <w:rFonts w:ascii="Arial" w:hAnsi="Arial" w:cs="Arial"/>
          <w:sz w:val="20"/>
          <w:szCs w:val="20"/>
        </w:rPr>
        <w:br/>
      </w:r>
      <w:r w:rsidRPr="00670420">
        <w:rPr>
          <w:rFonts w:ascii="Arial" w:hAnsi="Arial" w:cs="Arial"/>
          <w:b/>
          <w:sz w:val="20"/>
          <w:szCs w:val="20"/>
          <w:u w:val="single"/>
        </w:rPr>
        <w:t>Price Quotes for the Retail Pharmacy Network</w:t>
      </w:r>
      <w:r w:rsidR="00916F7D">
        <w:rPr>
          <w:rFonts w:ascii="Arial" w:hAnsi="Arial" w:cs="Arial"/>
          <w:sz w:val="20"/>
          <w:szCs w:val="20"/>
        </w:rPr>
        <w:t xml:space="preserve"> - </w:t>
      </w:r>
      <w:r w:rsidR="00916F7D" w:rsidRPr="00916F7D">
        <w:rPr>
          <w:rFonts w:ascii="Arial" w:hAnsi="Arial" w:cs="Arial"/>
          <w:sz w:val="20"/>
          <w:szCs w:val="20"/>
        </w:rPr>
        <w:t>(</w:t>
      </w:r>
      <w:r>
        <w:rPr>
          <w:rFonts w:ascii="Arial" w:hAnsi="Arial" w:cs="Arial"/>
          <w:sz w:val="20"/>
          <w:szCs w:val="20"/>
        </w:rPr>
        <w:t xml:space="preserve">Price Quote Instrument: </w:t>
      </w:r>
      <w:r>
        <w:rPr>
          <w:rFonts w:ascii="Arial" w:hAnsi="Arial" w:cs="Arial"/>
          <w:b/>
          <w:bCs/>
          <w:sz w:val="20"/>
          <w:szCs w:val="20"/>
        </w:rPr>
        <w:t>UF VARR</w:t>
      </w:r>
      <w:r w:rsidR="00916F7D" w:rsidRPr="00916F7D">
        <w:rPr>
          <w:rFonts w:ascii="Arial" w:hAnsi="Arial" w:cs="Arial"/>
          <w:bCs/>
          <w:sz w:val="20"/>
          <w:szCs w:val="20"/>
        </w:rPr>
        <w:t>)</w:t>
      </w:r>
      <w:r>
        <w:rPr>
          <w:rFonts w:ascii="Arial" w:hAnsi="Arial" w:cs="Arial"/>
          <w:sz w:val="20"/>
          <w:szCs w:val="20"/>
        </w:rPr>
        <w:br/>
      </w:r>
      <w:r>
        <w:rPr>
          <w:rFonts w:ascii="Arial" w:hAnsi="Arial" w:cs="Arial"/>
          <w:sz w:val="20"/>
          <w:szCs w:val="20"/>
        </w:rPr>
        <w:br/>
        <w:t>The item descriptions and NDC numbers for this class</w:t>
      </w:r>
      <w:r w:rsidR="001D69F8">
        <w:rPr>
          <w:rFonts w:ascii="Arial" w:hAnsi="Arial" w:cs="Arial"/>
          <w:sz w:val="20"/>
          <w:szCs w:val="20"/>
        </w:rPr>
        <w:t>,</w:t>
      </w:r>
      <w:r>
        <w:rPr>
          <w:rFonts w:ascii="Arial" w:hAnsi="Arial" w:cs="Arial"/>
          <w:sz w:val="20"/>
          <w:szCs w:val="20"/>
        </w:rPr>
        <w:t xml:space="preserve"> utilized in the Retail Pharmacy Network for the last 12 months</w:t>
      </w:r>
      <w:r w:rsidR="001D69F8">
        <w:rPr>
          <w:rFonts w:ascii="Arial" w:hAnsi="Arial" w:cs="Arial"/>
          <w:sz w:val="20"/>
          <w:szCs w:val="20"/>
        </w:rPr>
        <w:t>,</w:t>
      </w:r>
      <w:r>
        <w:rPr>
          <w:rFonts w:ascii="Arial" w:hAnsi="Arial" w:cs="Arial"/>
          <w:sz w:val="20"/>
          <w:szCs w:val="20"/>
        </w:rPr>
        <w:t xml:space="preserve"> are listed in the class utilization dataset.  A UF VARR quote for an agent is required to include all the NDCs that are included in the FSS NDC list included in the dataset.  The DoD will make no attempt to force participating retail pharmacies to dispense specific NDCs.</w:t>
      </w:r>
    </w:p>
    <w:p w:rsidR="00577E38" w:rsidRDefault="00577E38" w:rsidP="00D97FBC">
      <w:pPr>
        <w:spacing w:after="60"/>
        <w:rPr>
          <w:rFonts w:ascii="Arial" w:hAnsi="Arial" w:cs="Arial"/>
          <w:sz w:val="20"/>
          <w:szCs w:val="20"/>
        </w:rPr>
      </w:pPr>
    </w:p>
    <w:p w:rsidR="00577E38" w:rsidRPr="0034339B" w:rsidRDefault="00577E38" w:rsidP="00D97FBC">
      <w:pPr>
        <w:spacing w:after="60"/>
        <w:rPr>
          <w:rFonts w:ascii="Arial" w:hAnsi="Arial" w:cs="Arial"/>
          <w:sz w:val="20"/>
          <w:szCs w:val="20"/>
        </w:rPr>
      </w:pPr>
      <w:r w:rsidRPr="0034339B">
        <w:rPr>
          <w:rFonts w:ascii="Arial" w:hAnsi="Arial" w:cs="Arial"/>
          <w:sz w:val="20"/>
          <w:szCs w:val="20"/>
        </w:rPr>
        <w:t xml:space="preserve">The proposed refunds submitted in the UF VARR quotes will be contingent upon the number of agents selected for the UF. Pharmaceutical companies that submit UF VARR quotes </w:t>
      </w:r>
      <w:r w:rsidRPr="0034339B">
        <w:rPr>
          <w:rFonts w:ascii="Arial" w:hAnsi="Arial" w:cs="Arial"/>
          <w:b/>
          <w:bCs/>
          <w:sz w:val="20"/>
          <w:szCs w:val="20"/>
        </w:rPr>
        <w:t xml:space="preserve">must submit a separate VARR </w:t>
      </w:r>
      <w:r w:rsidR="001D0D3A" w:rsidRPr="0034339B">
        <w:rPr>
          <w:rFonts w:ascii="Arial" w:hAnsi="Arial" w:cs="Arial"/>
          <w:b/>
          <w:bCs/>
          <w:sz w:val="20"/>
          <w:szCs w:val="20"/>
        </w:rPr>
        <w:t>pricing appendix for each NDC</w:t>
      </w:r>
      <w:r w:rsidRPr="0034339B">
        <w:rPr>
          <w:rFonts w:ascii="Arial" w:hAnsi="Arial" w:cs="Arial"/>
          <w:sz w:val="20"/>
          <w:szCs w:val="20"/>
        </w:rPr>
        <w:t xml:space="preserve">. This will ensure that a company will have a valid price quote for whatever number of agents </w:t>
      </w:r>
      <w:r w:rsidR="003C0558" w:rsidRPr="0034339B">
        <w:rPr>
          <w:rFonts w:ascii="Arial" w:hAnsi="Arial" w:cs="Arial"/>
          <w:sz w:val="20"/>
          <w:szCs w:val="20"/>
        </w:rPr>
        <w:t>is</w:t>
      </w:r>
      <w:r w:rsidRPr="0034339B">
        <w:rPr>
          <w:rFonts w:ascii="Arial" w:hAnsi="Arial" w:cs="Arial"/>
          <w:sz w:val="20"/>
          <w:szCs w:val="20"/>
        </w:rPr>
        <w:t xml:space="preserve"> recommended for inclusion on the UF. </w:t>
      </w:r>
    </w:p>
    <w:p w:rsidR="00577E38" w:rsidRPr="0034339B" w:rsidRDefault="00577E38" w:rsidP="00577E38">
      <w:pPr>
        <w:spacing w:after="60"/>
        <w:jc w:val="both"/>
        <w:rPr>
          <w:rFonts w:ascii="Arial" w:hAnsi="Arial" w:cs="Arial"/>
          <w:b/>
          <w:sz w:val="20"/>
          <w:szCs w:val="20"/>
        </w:rPr>
      </w:pPr>
    </w:p>
    <w:p w:rsidR="00577E38" w:rsidRDefault="00577E38" w:rsidP="00577E38">
      <w:pPr>
        <w:spacing w:after="60"/>
        <w:rPr>
          <w:rFonts w:ascii="Arial" w:hAnsi="Arial" w:cs="Arial"/>
          <w:b/>
          <w:bCs/>
          <w:sz w:val="20"/>
          <w:szCs w:val="20"/>
        </w:rPr>
      </w:pPr>
      <w:r w:rsidRPr="0034339B">
        <w:rPr>
          <w:rFonts w:ascii="Arial" w:hAnsi="Arial" w:cs="Arial"/>
          <w:b/>
          <w:bCs/>
          <w:sz w:val="20"/>
          <w:szCs w:val="20"/>
        </w:rPr>
        <w:t>The DoD P&amp;T Committee will not accept UF VARR quotes that are contingent upon market</w:t>
      </w:r>
      <w:r>
        <w:rPr>
          <w:rFonts w:ascii="Arial" w:hAnsi="Arial" w:cs="Arial"/>
          <w:b/>
          <w:bCs/>
          <w:sz w:val="20"/>
          <w:szCs w:val="20"/>
        </w:rPr>
        <w:t xml:space="preserve"> shares. </w:t>
      </w:r>
    </w:p>
    <w:p w:rsidR="00577E38" w:rsidRDefault="00577E38" w:rsidP="00577E38">
      <w:pPr>
        <w:spacing w:after="60"/>
        <w:rPr>
          <w:rFonts w:ascii="Arial" w:hAnsi="Arial" w:cs="Arial"/>
          <w:sz w:val="20"/>
          <w:szCs w:val="20"/>
        </w:rPr>
      </w:pPr>
      <w:r>
        <w:rPr>
          <w:rFonts w:ascii="Arial" w:hAnsi="Arial" w:cs="Arial"/>
          <w:bCs/>
          <w:sz w:val="20"/>
          <w:szCs w:val="20"/>
        </w:rPr>
        <w:t xml:space="preserve"> </w:t>
      </w:r>
      <w:r>
        <w:rPr>
          <w:rFonts w:ascii="Arial" w:hAnsi="Arial" w:cs="Arial"/>
          <w:sz w:val="20"/>
          <w:szCs w:val="20"/>
        </w:rPr>
        <w:br/>
        <w:t xml:space="preserve">The DoD reserves the right to exclude specific formulations of a given class or agent from a submitted UF VARR quote based on the recommendations of the </w:t>
      </w:r>
      <w:r w:rsidR="001D69F8">
        <w:rPr>
          <w:rFonts w:ascii="Arial" w:hAnsi="Arial" w:cs="Arial"/>
          <w:sz w:val="20"/>
          <w:szCs w:val="20"/>
        </w:rPr>
        <w:t xml:space="preserve">DoD </w:t>
      </w:r>
      <w:r>
        <w:rPr>
          <w:rFonts w:ascii="Arial" w:hAnsi="Arial" w:cs="Arial"/>
          <w:sz w:val="20"/>
          <w:szCs w:val="20"/>
        </w:rPr>
        <w:t xml:space="preserve">P&amp;T Committee and the final decision of the Director, </w:t>
      </w:r>
      <w:r w:rsidR="00822885">
        <w:rPr>
          <w:rFonts w:ascii="Arial" w:hAnsi="Arial" w:cs="Arial"/>
          <w:sz w:val="20"/>
          <w:szCs w:val="20"/>
        </w:rPr>
        <w:t>DHA</w:t>
      </w:r>
      <w:r>
        <w:rPr>
          <w:rFonts w:ascii="Arial" w:hAnsi="Arial" w:cs="Arial"/>
          <w:sz w:val="20"/>
          <w:szCs w:val="20"/>
        </w:rPr>
        <w:t>, regarding the UF and BCF/ECF for specific formulations of a given agent.</w:t>
      </w:r>
      <w:r w:rsidR="008B4B28">
        <w:rPr>
          <w:rFonts w:ascii="Arial" w:hAnsi="Arial" w:cs="Arial"/>
          <w:sz w:val="20"/>
          <w:szCs w:val="20"/>
        </w:rPr>
        <w:t xml:space="preserve">  </w:t>
      </w:r>
      <w:r>
        <w:rPr>
          <w:rFonts w:ascii="Arial" w:hAnsi="Arial" w:cs="Arial"/>
          <w:sz w:val="20"/>
          <w:szCs w:val="20"/>
          <w:u w:val="single"/>
        </w:rPr>
        <w:t>UF VARR quotes will not be accepted for generic (multi-source) pharmaceutical agents</w:t>
      </w:r>
      <w:r>
        <w:rPr>
          <w:rFonts w:ascii="Arial" w:hAnsi="Arial" w:cs="Arial"/>
          <w:sz w:val="20"/>
          <w:szCs w:val="20"/>
        </w:rPr>
        <w:t>.</w:t>
      </w:r>
    </w:p>
    <w:p w:rsidR="00577E38" w:rsidRDefault="00577E38" w:rsidP="00577E38">
      <w:pPr>
        <w:spacing w:after="60"/>
        <w:rPr>
          <w:rFonts w:ascii="Arial" w:hAnsi="Arial" w:cs="Arial"/>
          <w:sz w:val="20"/>
          <w:szCs w:val="20"/>
        </w:rPr>
      </w:pPr>
    </w:p>
    <w:p w:rsidR="008B4B28" w:rsidRPr="00580BB8" w:rsidRDefault="008B4B28" w:rsidP="008B4B28">
      <w:pPr>
        <w:spacing w:after="60"/>
        <w:rPr>
          <w:rFonts w:ascii="Arial" w:hAnsi="Arial" w:cs="Arial"/>
          <w:b/>
          <w:bCs/>
          <w:sz w:val="22"/>
          <w:szCs w:val="22"/>
          <w:u w:val="single"/>
        </w:rPr>
      </w:pPr>
      <w:r w:rsidRPr="00580BB8">
        <w:rPr>
          <w:rFonts w:ascii="Arial" w:hAnsi="Arial" w:cs="Arial"/>
          <w:b/>
          <w:bCs/>
          <w:sz w:val="22"/>
          <w:szCs w:val="22"/>
          <w:u w:val="single"/>
        </w:rPr>
        <w:t>Prior Authorization / Step Therapy</w:t>
      </w:r>
    </w:p>
    <w:p w:rsidR="008B4B28" w:rsidRPr="001B448D" w:rsidRDefault="008B4B28" w:rsidP="008B4B28">
      <w:pPr>
        <w:rPr>
          <w:rFonts w:ascii="Arial" w:hAnsi="Arial" w:cs="Arial"/>
          <w:sz w:val="20"/>
        </w:rPr>
      </w:pPr>
      <w:r w:rsidRPr="001B448D">
        <w:rPr>
          <w:rFonts w:ascii="Arial" w:hAnsi="Arial" w:cs="Arial"/>
          <w:b/>
          <w:i/>
          <w:sz w:val="20"/>
        </w:rPr>
        <w:lastRenderedPageBreak/>
        <w:t>Grandfathering:</w:t>
      </w:r>
      <w:r w:rsidRPr="001B448D">
        <w:rPr>
          <w:rFonts w:ascii="Arial" w:hAnsi="Arial" w:cs="Arial"/>
          <w:sz w:val="20"/>
        </w:rPr>
        <w:t xml:space="preserve">  a prior authorization process, would require all new patients to complete an adequate trial of the step-preferred agent(s) before a non-step-preferred agent is provided to a new user.  Unless otherwise noted, patients must have tried an agent in the class in the previous 180 days in order to be excluded from the prior authorization process.</w:t>
      </w:r>
    </w:p>
    <w:p w:rsidR="008B4B28" w:rsidRPr="001B448D" w:rsidRDefault="008B4B28" w:rsidP="008B4B28">
      <w:pPr>
        <w:rPr>
          <w:rFonts w:ascii="Arial" w:hAnsi="Arial" w:cs="Arial"/>
          <w:sz w:val="20"/>
        </w:rPr>
      </w:pPr>
    </w:p>
    <w:p w:rsidR="008B4B28" w:rsidRPr="001B448D" w:rsidRDefault="008B4B28" w:rsidP="008B4B28">
      <w:pPr>
        <w:rPr>
          <w:rFonts w:ascii="Arial" w:hAnsi="Arial" w:cs="Arial"/>
          <w:sz w:val="20"/>
        </w:rPr>
      </w:pPr>
      <w:r w:rsidRPr="001B448D">
        <w:rPr>
          <w:rFonts w:ascii="Arial" w:hAnsi="Arial" w:cs="Arial"/>
          <w:b/>
          <w:i/>
          <w:sz w:val="20"/>
        </w:rPr>
        <w:t>No grandfathering:</w:t>
      </w:r>
      <w:r w:rsidRPr="001B448D">
        <w:rPr>
          <w:rFonts w:ascii="Arial" w:hAnsi="Arial" w:cs="Arial"/>
          <w:sz w:val="20"/>
        </w:rPr>
        <w:t xml:space="preserve"> a prior authorization process, would require all patients, regardless of past medication history to complete an adequate trial of the step-preferred agent(s) before a non-step-preferred agent is provided to a user.</w:t>
      </w:r>
    </w:p>
    <w:p w:rsidR="008B4B28" w:rsidRPr="001B448D" w:rsidRDefault="008B4B28" w:rsidP="008B4B28">
      <w:pPr>
        <w:rPr>
          <w:rFonts w:ascii="Arial" w:hAnsi="Arial" w:cs="Arial"/>
          <w:sz w:val="20"/>
        </w:rPr>
      </w:pPr>
    </w:p>
    <w:p w:rsidR="008B4B28" w:rsidRPr="008B4B28" w:rsidRDefault="008B4B28" w:rsidP="008B4B28">
      <w:pPr>
        <w:rPr>
          <w:rFonts w:ascii="Arial" w:hAnsi="Arial" w:cs="Arial"/>
          <w:sz w:val="20"/>
        </w:rPr>
      </w:pPr>
      <w:r w:rsidRPr="001B448D">
        <w:rPr>
          <w:rFonts w:ascii="Arial" w:hAnsi="Arial" w:cs="Arial"/>
          <w:b/>
          <w:i/>
          <w:sz w:val="20"/>
        </w:rPr>
        <w:t>Grandfathering unstipulated:</w:t>
      </w:r>
      <w:r w:rsidRPr="001B448D">
        <w:rPr>
          <w:rFonts w:ascii="Arial" w:hAnsi="Arial" w:cs="Arial"/>
          <w:sz w:val="20"/>
        </w:rPr>
        <w:t xml:space="preserve"> </w:t>
      </w:r>
      <w:r w:rsidR="000B4F4D" w:rsidRPr="001B448D">
        <w:rPr>
          <w:rFonts w:ascii="Arial" w:hAnsi="Arial" w:cs="Arial"/>
          <w:sz w:val="20"/>
        </w:rPr>
        <w:t>DoD</w:t>
      </w:r>
      <w:r w:rsidRPr="001B448D">
        <w:rPr>
          <w:rFonts w:ascii="Arial" w:hAnsi="Arial" w:cs="Arial"/>
          <w:sz w:val="20"/>
        </w:rPr>
        <w:t xml:space="preserve"> reserves the right to choose the grandfathering or no-grandfathering of some or all agents based the total price/clinical evaluations after quotes have been submitted and in the best interests of the Government.</w:t>
      </w:r>
      <w:r w:rsidRPr="008B4B28">
        <w:rPr>
          <w:rFonts w:ascii="Arial" w:hAnsi="Arial" w:cs="Arial"/>
          <w:sz w:val="20"/>
        </w:rPr>
        <w:t xml:space="preserve">  </w:t>
      </w:r>
    </w:p>
    <w:p w:rsidR="008B4B28" w:rsidRDefault="008B4B28" w:rsidP="008B4B28">
      <w:pPr>
        <w:spacing w:after="60"/>
        <w:rPr>
          <w:rFonts w:ascii="Arial" w:hAnsi="Arial" w:cs="Arial"/>
          <w:b/>
          <w:bCs/>
          <w:sz w:val="22"/>
          <w:szCs w:val="22"/>
        </w:rPr>
      </w:pPr>
    </w:p>
    <w:p w:rsidR="008B4B28" w:rsidRPr="00580BB8" w:rsidRDefault="008B4B28" w:rsidP="008B4B28">
      <w:pPr>
        <w:spacing w:after="60"/>
        <w:rPr>
          <w:rFonts w:ascii="Arial" w:hAnsi="Arial" w:cs="Arial"/>
          <w:b/>
          <w:bCs/>
          <w:sz w:val="22"/>
          <w:szCs w:val="22"/>
          <w:u w:val="single"/>
        </w:rPr>
      </w:pPr>
      <w:r w:rsidRPr="00580BB8">
        <w:rPr>
          <w:rFonts w:ascii="Arial" w:hAnsi="Arial" w:cs="Arial"/>
          <w:b/>
          <w:bCs/>
          <w:sz w:val="22"/>
          <w:szCs w:val="22"/>
          <w:u w:val="single"/>
        </w:rPr>
        <w:t>Utilization Data and Determining the Cost of the Class</w:t>
      </w:r>
    </w:p>
    <w:p w:rsidR="00577E38" w:rsidRDefault="00577E38" w:rsidP="00957636">
      <w:pPr>
        <w:spacing w:after="60"/>
        <w:ind w:left="180" w:right="-195"/>
        <w:rPr>
          <w:rFonts w:ascii="Arial" w:hAnsi="Arial" w:cs="Arial"/>
          <w:sz w:val="20"/>
          <w:szCs w:val="20"/>
        </w:rPr>
      </w:pPr>
      <w:r>
        <w:rPr>
          <w:rFonts w:ascii="Arial" w:hAnsi="Arial" w:cs="Arial"/>
          <w:sz w:val="20"/>
          <w:szCs w:val="20"/>
        </w:rPr>
        <w:t xml:space="preserve">The </w:t>
      </w:r>
      <w:r w:rsidRPr="002A66AE">
        <w:rPr>
          <w:rFonts w:ascii="Arial" w:hAnsi="Arial" w:cs="Arial"/>
          <w:b/>
          <w:bCs/>
          <w:sz w:val="20"/>
          <w:szCs w:val="20"/>
        </w:rPr>
        <w:t>Uniform Formulary Price Quote Information Page</w:t>
      </w:r>
      <w:r>
        <w:rPr>
          <w:rFonts w:ascii="Arial" w:hAnsi="Arial" w:cs="Arial"/>
          <w:sz w:val="20"/>
          <w:szCs w:val="20"/>
        </w:rPr>
        <w:t xml:space="preserve"> outlines the general approach for determining the cost of this class.  Historical utilization data and an example of how an overall weighted average cost per day of therapy may be determined are provided in the utilization dataset.</w:t>
      </w:r>
      <w:r>
        <w:rPr>
          <w:rFonts w:ascii="Arial" w:hAnsi="Arial" w:cs="Arial"/>
          <w:sz w:val="20"/>
          <w:szCs w:val="20"/>
        </w:rPr>
        <w:br/>
      </w:r>
      <w:r>
        <w:rPr>
          <w:rFonts w:ascii="Arial" w:hAnsi="Arial" w:cs="Arial"/>
          <w:sz w:val="20"/>
          <w:szCs w:val="20"/>
        </w:rPr>
        <w:br/>
      </w:r>
    </w:p>
    <w:p w:rsidR="00577E38" w:rsidRPr="0034339B" w:rsidRDefault="001D0D3A" w:rsidP="00577E38">
      <w:pPr>
        <w:spacing w:after="60"/>
        <w:rPr>
          <w:rFonts w:ascii="Arial" w:hAnsi="Arial" w:cs="Arial"/>
          <w:sz w:val="20"/>
          <w:szCs w:val="20"/>
        </w:rPr>
      </w:pPr>
      <w:bookmarkStart w:id="1" w:name="OLE_LINK6"/>
      <w:bookmarkStart w:id="2" w:name="OLE_LINK5"/>
      <w:r w:rsidRPr="0034339B">
        <w:rPr>
          <w:rFonts w:ascii="Arial" w:hAnsi="Arial" w:cs="Arial"/>
          <w:sz w:val="20"/>
          <w:szCs w:val="20"/>
        </w:rPr>
        <w:t>The evaluation price for each agent will be</w:t>
      </w:r>
      <w:r w:rsidR="00577E38" w:rsidRPr="0034339B">
        <w:rPr>
          <w:rFonts w:ascii="Arial" w:hAnsi="Arial" w:cs="Arial"/>
          <w:sz w:val="20"/>
          <w:szCs w:val="20"/>
        </w:rPr>
        <w:t>:</w:t>
      </w:r>
    </w:p>
    <w:p w:rsidR="00577E38" w:rsidRPr="0034339B" w:rsidRDefault="00577E38" w:rsidP="00577E38">
      <w:pPr>
        <w:numPr>
          <w:ilvl w:val="0"/>
          <w:numId w:val="10"/>
        </w:numPr>
        <w:spacing w:before="100" w:beforeAutospacing="1" w:after="60"/>
        <w:rPr>
          <w:rFonts w:ascii="Arial" w:hAnsi="Arial" w:cs="Arial"/>
          <w:sz w:val="20"/>
          <w:szCs w:val="20"/>
        </w:rPr>
      </w:pPr>
      <w:r w:rsidRPr="0034339B">
        <w:rPr>
          <w:rFonts w:ascii="Arial" w:hAnsi="Arial" w:cs="Arial"/>
          <w:b/>
          <w:bCs/>
          <w:sz w:val="20"/>
          <w:szCs w:val="20"/>
        </w:rPr>
        <w:t>For the MTF and Mail dispensing venues</w:t>
      </w:r>
    </w:p>
    <w:p w:rsidR="00577E38" w:rsidRPr="0034339B" w:rsidRDefault="00577E38" w:rsidP="00957636">
      <w:pPr>
        <w:numPr>
          <w:ilvl w:val="1"/>
          <w:numId w:val="14"/>
        </w:numPr>
        <w:spacing w:before="100" w:beforeAutospacing="1" w:after="60"/>
        <w:contextualSpacing/>
        <w:rPr>
          <w:rFonts w:ascii="Arial" w:hAnsi="Arial" w:cs="Arial"/>
          <w:sz w:val="20"/>
          <w:szCs w:val="20"/>
        </w:rPr>
      </w:pPr>
      <w:r w:rsidRPr="0034339B">
        <w:rPr>
          <w:rFonts w:ascii="Arial" w:hAnsi="Arial" w:cs="Arial"/>
          <w:sz w:val="20"/>
          <w:szCs w:val="20"/>
        </w:rPr>
        <w:t>A UF BPA price quote</w:t>
      </w:r>
    </w:p>
    <w:p w:rsidR="00957636" w:rsidRPr="0034339B" w:rsidRDefault="00957636" w:rsidP="00957636">
      <w:pPr>
        <w:numPr>
          <w:ilvl w:val="1"/>
          <w:numId w:val="14"/>
        </w:numPr>
        <w:spacing w:before="100" w:beforeAutospacing="1" w:after="60"/>
        <w:contextualSpacing/>
        <w:rPr>
          <w:rFonts w:ascii="Arial" w:hAnsi="Arial" w:cs="Arial"/>
          <w:sz w:val="20"/>
          <w:szCs w:val="20"/>
        </w:rPr>
      </w:pPr>
      <w:r w:rsidRPr="0034339B">
        <w:rPr>
          <w:rFonts w:ascii="Arial" w:hAnsi="Arial" w:cs="Arial"/>
          <w:sz w:val="20"/>
          <w:szCs w:val="20"/>
        </w:rPr>
        <w:t>If there is no UF BPA quote, the lower of:</w:t>
      </w:r>
    </w:p>
    <w:p w:rsidR="00577E38" w:rsidRPr="0034339B" w:rsidRDefault="00577E38" w:rsidP="00957636">
      <w:pPr>
        <w:numPr>
          <w:ilvl w:val="2"/>
          <w:numId w:val="16"/>
        </w:numPr>
        <w:spacing w:before="100" w:beforeAutospacing="1" w:after="60"/>
        <w:contextualSpacing/>
        <w:rPr>
          <w:rFonts w:ascii="Arial" w:hAnsi="Arial" w:cs="Arial"/>
          <w:sz w:val="20"/>
          <w:szCs w:val="20"/>
        </w:rPr>
      </w:pPr>
      <w:r w:rsidRPr="0034339B">
        <w:rPr>
          <w:rFonts w:ascii="Arial" w:hAnsi="Arial" w:cs="Arial"/>
          <w:sz w:val="20"/>
          <w:szCs w:val="20"/>
        </w:rPr>
        <w:t>Big 4 price as listed on the first day of the month preceding the DoD P&amp;T meeting</w:t>
      </w:r>
    </w:p>
    <w:p w:rsidR="00957636" w:rsidRPr="0034339B" w:rsidRDefault="00957636" w:rsidP="00957636">
      <w:pPr>
        <w:numPr>
          <w:ilvl w:val="2"/>
          <w:numId w:val="16"/>
        </w:numPr>
        <w:spacing w:before="100" w:beforeAutospacing="1" w:after="60"/>
        <w:contextualSpacing/>
        <w:rPr>
          <w:rFonts w:ascii="Arial" w:hAnsi="Arial" w:cs="Arial"/>
          <w:sz w:val="20"/>
          <w:szCs w:val="20"/>
        </w:rPr>
      </w:pPr>
      <w:r w:rsidRPr="0034339B">
        <w:rPr>
          <w:rFonts w:ascii="Arial" w:hAnsi="Arial" w:cs="Arial"/>
          <w:sz w:val="20"/>
          <w:szCs w:val="20"/>
        </w:rPr>
        <w:t>FSS price as listed on the first day of the month preceding the DoD P&amp;T meeting</w:t>
      </w:r>
      <w:bookmarkEnd w:id="1"/>
      <w:bookmarkEnd w:id="2"/>
    </w:p>
    <w:p w:rsidR="007E5A39" w:rsidRPr="0034339B" w:rsidRDefault="007E5A39" w:rsidP="007E5A39">
      <w:pPr>
        <w:numPr>
          <w:ilvl w:val="0"/>
          <w:numId w:val="10"/>
        </w:numPr>
        <w:spacing w:before="100" w:beforeAutospacing="1" w:after="60"/>
        <w:rPr>
          <w:rFonts w:ascii="Arial" w:hAnsi="Arial" w:cs="Arial"/>
          <w:b/>
          <w:bCs/>
          <w:sz w:val="20"/>
          <w:szCs w:val="20"/>
        </w:rPr>
      </w:pPr>
      <w:r w:rsidRPr="0034339B">
        <w:rPr>
          <w:rFonts w:ascii="Arial" w:hAnsi="Arial" w:cs="Arial"/>
          <w:b/>
          <w:bCs/>
          <w:sz w:val="20"/>
          <w:szCs w:val="20"/>
        </w:rPr>
        <w:t>For the Retail dispensing venue</w:t>
      </w:r>
    </w:p>
    <w:p w:rsidR="00197C16" w:rsidRPr="0034339B" w:rsidRDefault="007E5A39" w:rsidP="00DC7570">
      <w:pPr>
        <w:numPr>
          <w:ilvl w:val="1"/>
          <w:numId w:val="19"/>
        </w:numPr>
        <w:spacing w:before="100" w:beforeAutospacing="1" w:after="60"/>
        <w:contextualSpacing/>
        <w:rPr>
          <w:rFonts w:ascii="Arial" w:hAnsi="Arial" w:cs="Arial"/>
          <w:b/>
          <w:bCs/>
          <w:sz w:val="20"/>
          <w:szCs w:val="20"/>
        </w:rPr>
      </w:pPr>
      <w:r w:rsidRPr="0034339B">
        <w:rPr>
          <w:rFonts w:ascii="Arial" w:hAnsi="Arial" w:cs="Arial"/>
          <w:b/>
          <w:bCs/>
          <w:sz w:val="20"/>
          <w:szCs w:val="20"/>
        </w:rPr>
        <w:t>UF VARR calculated refund</w:t>
      </w:r>
    </w:p>
    <w:p w:rsidR="00197C16" w:rsidRPr="0034339B" w:rsidRDefault="007E5A39" w:rsidP="00DC7570">
      <w:pPr>
        <w:numPr>
          <w:ilvl w:val="1"/>
          <w:numId w:val="19"/>
        </w:numPr>
        <w:spacing w:before="100" w:beforeAutospacing="1" w:after="60"/>
        <w:contextualSpacing/>
        <w:rPr>
          <w:rFonts w:ascii="Arial" w:hAnsi="Arial" w:cs="Arial"/>
          <w:sz w:val="20"/>
          <w:szCs w:val="20"/>
        </w:rPr>
      </w:pPr>
      <w:r w:rsidRPr="0034339B">
        <w:rPr>
          <w:rFonts w:ascii="Arial" w:hAnsi="Arial" w:cs="Arial"/>
          <w:b/>
          <w:bCs/>
          <w:sz w:val="20"/>
          <w:szCs w:val="20"/>
        </w:rPr>
        <w:t>Absent</w:t>
      </w:r>
      <w:r w:rsidRPr="0034339B">
        <w:rPr>
          <w:rFonts w:ascii="Arial" w:hAnsi="Arial" w:cs="Arial"/>
          <w:sz w:val="20"/>
          <w:szCs w:val="20"/>
        </w:rPr>
        <w:t xml:space="preserve"> a UF VARR Quote, the current price as of the first day of the mont</w:t>
      </w:r>
      <w:r w:rsidR="00957636" w:rsidRPr="0034339B">
        <w:rPr>
          <w:rFonts w:ascii="Arial" w:hAnsi="Arial" w:cs="Arial"/>
          <w:sz w:val="20"/>
          <w:szCs w:val="20"/>
        </w:rPr>
        <w:t>h preceding the DoD P&amp;T meeting</w:t>
      </w:r>
    </w:p>
    <w:p w:rsidR="0034339B" w:rsidRDefault="0034339B" w:rsidP="0034339B">
      <w:pPr>
        <w:spacing w:before="100" w:beforeAutospacing="1" w:after="60"/>
        <w:contextualSpacing/>
        <w:rPr>
          <w:rFonts w:ascii="Arial" w:hAnsi="Arial" w:cs="Arial"/>
          <w:sz w:val="20"/>
          <w:szCs w:val="20"/>
        </w:rPr>
      </w:pPr>
    </w:p>
    <w:p w:rsidR="0034339B" w:rsidRPr="0034339B" w:rsidRDefault="0034339B" w:rsidP="0034339B">
      <w:pPr>
        <w:spacing w:before="100" w:beforeAutospacing="1" w:after="60"/>
        <w:outlineLvl w:val="0"/>
        <w:rPr>
          <w:rFonts w:ascii="Arial" w:hAnsi="Arial" w:cs="Arial"/>
          <w:b/>
          <w:sz w:val="20"/>
          <w:szCs w:val="20"/>
        </w:rPr>
      </w:pPr>
      <w:r w:rsidRPr="0034339B">
        <w:rPr>
          <w:rFonts w:ascii="Arial" w:hAnsi="Arial" w:cs="Arial"/>
          <w:sz w:val="20"/>
          <w:szCs w:val="20"/>
        </w:rPr>
        <w:t>Note: If DHA signs a UF VARR higher than the FCP, this does not waive any right of the Department of Defense under 10 U.S.C. 1074g(f).</w:t>
      </w:r>
    </w:p>
    <w:p w:rsidR="0034339B" w:rsidRPr="00517FB2" w:rsidRDefault="0034339B" w:rsidP="0034339B">
      <w:pPr>
        <w:spacing w:before="100" w:beforeAutospacing="1" w:after="60"/>
        <w:contextualSpacing/>
        <w:rPr>
          <w:rFonts w:ascii="Arial" w:hAnsi="Arial" w:cs="Arial"/>
          <w:sz w:val="20"/>
          <w:szCs w:val="20"/>
          <w:highlight w:val="yellow"/>
        </w:rPr>
      </w:pPr>
    </w:p>
    <w:sectPr w:rsidR="0034339B" w:rsidRPr="00517FB2" w:rsidSect="00822885">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66F" w:rsidRDefault="0027366F">
      <w:r>
        <w:separator/>
      </w:r>
    </w:p>
  </w:endnote>
  <w:endnote w:type="continuationSeparator" w:id="0">
    <w:p w:rsidR="0027366F" w:rsidRDefault="0027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9F8" w:rsidRPr="00916F7D" w:rsidRDefault="00C62BC6">
    <w:pPr>
      <w:pStyle w:val="Footer"/>
      <w:jc w:val="center"/>
      <w:rPr>
        <w:rFonts w:ascii="Arial" w:hAnsi="Arial" w:cs="Arial"/>
        <w:sz w:val="20"/>
      </w:rPr>
    </w:pPr>
    <w:r w:rsidRPr="00916F7D">
      <w:rPr>
        <w:rFonts w:ascii="Arial" w:hAnsi="Arial" w:cs="Arial"/>
        <w:sz w:val="20"/>
      </w:rPr>
      <w:fldChar w:fldCharType="begin"/>
    </w:r>
    <w:r w:rsidR="001D69F8" w:rsidRPr="00916F7D">
      <w:rPr>
        <w:rFonts w:ascii="Arial" w:hAnsi="Arial" w:cs="Arial"/>
        <w:sz w:val="20"/>
      </w:rPr>
      <w:instrText xml:space="preserve"> PAGE   \* MERGEFORMAT </w:instrText>
    </w:r>
    <w:r w:rsidRPr="00916F7D">
      <w:rPr>
        <w:rFonts w:ascii="Arial" w:hAnsi="Arial" w:cs="Arial"/>
        <w:sz w:val="20"/>
      </w:rPr>
      <w:fldChar w:fldCharType="separate"/>
    </w:r>
    <w:r w:rsidR="00D95373">
      <w:rPr>
        <w:rFonts w:ascii="Arial" w:hAnsi="Arial" w:cs="Arial"/>
        <w:noProof/>
        <w:sz w:val="20"/>
      </w:rPr>
      <w:t>1</w:t>
    </w:r>
    <w:r w:rsidRPr="00916F7D">
      <w:rPr>
        <w:rFonts w:ascii="Arial" w:hAnsi="Arial" w:cs="Arial"/>
        <w:noProof/>
        <w:sz w:val="20"/>
      </w:rPr>
      <w:fldChar w:fldCharType="end"/>
    </w:r>
  </w:p>
  <w:p w:rsidR="001D69F8" w:rsidRDefault="001D6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66F" w:rsidRDefault="0027366F">
      <w:r>
        <w:separator/>
      </w:r>
    </w:p>
  </w:footnote>
  <w:footnote w:type="continuationSeparator" w:id="0">
    <w:p w:rsidR="0027366F" w:rsidRDefault="00273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367D0"/>
    <w:multiLevelType w:val="multilevel"/>
    <w:tmpl w:val="C6D08F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D447B"/>
    <w:multiLevelType w:val="multilevel"/>
    <w:tmpl w:val="EBAE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1101E"/>
    <w:multiLevelType w:val="multilevel"/>
    <w:tmpl w:val="B4EE8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A9268E"/>
    <w:multiLevelType w:val="multilevel"/>
    <w:tmpl w:val="B8B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B649D6"/>
    <w:multiLevelType w:val="multilevel"/>
    <w:tmpl w:val="E99495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FF4CF4"/>
    <w:multiLevelType w:val="multilevel"/>
    <w:tmpl w:val="A4CA87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9D2A40"/>
    <w:multiLevelType w:val="multilevel"/>
    <w:tmpl w:val="23EA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B93C69"/>
    <w:multiLevelType w:val="multilevel"/>
    <w:tmpl w:val="A4CA87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8E28AB"/>
    <w:multiLevelType w:val="multilevel"/>
    <w:tmpl w:val="B4EE8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F758C0"/>
    <w:multiLevelType w:val="hybridMultilevel"/>
    <w:tmpl w:val="2F460C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E83CB1"/>
    <w:multiLevelType w:val="hybridMultilevel"/>
    <w:tmpl w:val="25D4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6538E5"/>
    <w:multiLevelType w:val="multilevel"/>
    <w:tmpl w:val="E99495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6C7AF6"/>
    <w:multiLevelType w:val="hybridMultilevel"/>
    <w:tmpl w:val="24E6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A06556"/>
    <w:multiLevelType w:val="multilevel"/>
    <w:tmpl w:val="B4EE8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9E7F23"/>
    <w:multiLevelType w:val="multilevel"/>
    <w:tmpl w:val="6890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0B4803"/>
    <w:multiLevelType w:val="multilevel"/>
    <w:tmpl w:val="A1829F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7B28F0"/>
    <w:multiLevelType w:val="hybridMultilevel"/>
    <w:tmpl w:val="B2505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9086FC4"/>
    <w:multiLevelType w:val="multilevel"/>
    <w:tmpl w:val="282A325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num w:numId="1">
    <w:abstractNumId w:val="3"/>
  </w:num>
  <w:num w:numId="2">
    <w:abstractNumId w:val="6"/>
  </w:num>
  <w:num w:numId="3">
    <w:abstractNumId w:val="8"/>
  </w:num>
  <w:num w:numId="4">
    <w:abstractNumId w:val="1"/>
  </w:num>
  <w:num w:numId="5">
    <w:abstractNumId w:val="17"/>
  </w:num>
  <w:num w:numId="6">
    <w:abstractNumId w:val="14"/>
  </w:num>
  <w:num w:numId="7">
    <w:abstractNumId w:val="16"/>
  </w:num>
  <w:num w:numId="8">
    <w:abstractNumId w:val="13"/>
  </w:num>
  <w:num w:numId="9">
    <w:abstractNumId w:val="2"/>
  </w:num>
  <w:num w:numId="10">
    <w:abstractNumId w:val="8"/>
  </w:num>
  <w:num w:numId="11">
    <w:abstractNumId w:val="10"/>
  </w:num>
  <w:num w:numId="12">
    <w:abstractNumId w:val="9"/>
  </w:num>
  <w:num w:numId="13">
    <w:abstractNumId w:val="12"/>
  </w:num>
  <w:num w:numId="14">
    <w:abstractNumId w:val="7"/>
  </w:num>
  <w:num w:numId="15">
    <w:abstractNumId w:val="5"/>
  </w:num>
  <w:num w:numId="16">
    <w:abstractNumId w:val="11"/>
  </w:num>
  <w:num w:numId="17">
    <w:abstractNumId w:val="4"/>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LYLB2MF1Sgd3VKsrg7QilOBoVeI=" w:salt="pRjcaF8C0rbmYbU7HhINt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62F"/>
    <w:rsid w:val="000021CD"/>
    <w:rsid w:val="00012BB1"/>
    <w:rsid w:val="000149D4"/>
    <w:rsid w:val="0001685C"/>
    <w:rsid w:val="00020C72"/>
    <w:rsid w:val="0003069F"/>
    <w:rsid w:val="00032543"/>
    <w:rsid w:val="00035A38"/>
    <w:rsid w:val="00050E7F"/>
    <w:rsid w:val="00050FCA"/>
    <w:rsid w:val="0006562F"/>
    <w:rsid w:val="00066CCB"/>
    <w:rsid w:val="00067F4E"/>
    <w:rsid w:val="00073DC4"/>
    <w:rsid w:val="000815BB"/>
    <w:rsid w:val="00086F50"/>
    <w:rsid w:val="000962CF"/>
    <w:rsid w:val="00096318"/>
    <w:rsid w:val="00096F3F"/>
    <w:rsid w:val="000971DF"/>
    <w:rsid w:val="000A0A56"/>
    <w:rsid w:val="000B09C8"/>
    <w:rsid w:val="000B1705"/>
    <w:rsid w:val="000B33C7"/>
    <w:rsid w:val="000B4F4D"/>
    <w:rsid w:val="000C383A"/>
    <w:rsid w:val="000C4912"/>
    <w:rsid w:val="000D2B30"/>
    <w:rsid w:val="000D2E3A"/>
    <w:rsid w:val="000F1028"/>
    <w:rsid w:val="000F10E2"/>
    <w:rsid w:val="000F204A"/>
    <w:rsid w:val="000F6EE2"/>
    <w:rsid w:val="000F7AC6"/>
    <w:rsid w:val="001013CC"/>
    <w:rsid w:val="001073B8"/>
    <w:rsid w:val="00114D1E"/>
    <w:rsid w:val="001339FD"/>
    <w:rsid w:val="00134F32"/>
    <w:rsid w:val="00135F85"/>
    <w:rsid w:val="0013633B"/>
    <w:rsid w:val="00142D75"/>
    <w:rsid w:val="00143E1C"/>
    <w:rsid w:val="001450A6"/>
    <w:rsid w:val="00145D1C"/>
    <w:rsid w:val="00154D6E"/>
    <w:rsid w:val="001553FD"/>
    <w:rsid w:val="00155D34"/>
    <w:rsid w:val="001613F6"/>
    <w:rsid w:val="001724A6"/>
    <w:rsid w:val="00173EF8"/>
    <w:rsid w:val="0017646A"/>
    <w:rsid w:val="001804D8"/>
    <w:rsid w:val="0018546B"/>
    <w:rsid w:val="00185AF0"/>
    <w:rsid w:val="00185DE4"/>
    <w:rsid w:val="00190A2E"/>
    <w:rsid w:val="00192788"/>
    <w:rsid w:val="00197693"/>
    <w:rsid w:val="00197C16"/>
    <w:rsid w:val="001A391B"/>
    <w:rsid w:val="001B188C"/>
    <w:rsid w:val="001B24E1"/>
    <w:rsid w:val="001B448D"/>
    <w:rsid w:val="001B5377"/>
    <w:rsid w:val="001C172E"/>
    <w:rsid w:val="001C42B7"/>
    <w:rsid w:val="001C7C2E"/>
    <w:rsid w:val="001D0D3A"/>
    <w:rsid w:val="001D0D6D"/>
    <w:rsid w:val="001D19BB"/>
    <w:rsid w:val="001D34CF"/>
    <w:rsid w:val="001D3DEC"/>
    <w:rsid w:val="001D60E6"/>
    <w:rsid w:val="001D69F8"/>
    <w:rsid w:val="001E00E7"/>
    <w:rsid w:val="001E189B"/>
    <w:rsid w:val="001E1EC4"/>
    <w:rsid w:val="001E2AA7"/>
    <w:rsid w:val="001E52D2"/>
    <w:rsid w:val="001E7407"/>
    <w:rsid w:val="001F3E71"/>
    <w:rsid w:val="001F70B9"/>
    <w:rsid w:val="002016F6"/>
    <w:rsid w:val="002047C1"/>
    <w:rsid w:val="0021344F"/>
    <w:rsid w:val="002153D1"/>
    <w:rsid w:val="00216060"/>
    <w:rsid w:val="00220ACB"/>
    <w:rsid w:val="00227DE0"/>
    <w:rsid w:val="00230803"/>
    <w:rsid w:val="00233085"/>
    <w:rsid w:val="00234332"/>
    <w:rsid w:val="00234470"/>
    <w:rsid w:val="00236B90"/>
    <w:rsid w:val="00244713"/>
    <w:rsid w:val="00252B79"/>
    <w:rsid w:val="002541FF"/>
    <w:rsid w:val="002554E9"/>
    <w:rsid w:val="00260F43"/>
    <w:rsid w:val="00261547"/>
    <w:rsid w:val="002625BA"/>
    <w:rsid w:val="00267352"/>
    <w:rsid w:val="00270C20"/>
    <w:rsid w:val="00271E40"/>
    <w:rsid w:val="0027366F"/>
    <w:rsid w:val="00275C6A"/>
    <w:rsid w:val="00276B0A"/>
    <w:rsid w:val="00280768"/>
    <w:rsid w:val="00280769"/>
    <w:rsid w:val="0028371D"/>
    <w:rsid w:val="002848DD"/>
    <w:rsid w:val="0028551A"/>
    <w:rsid w:val="00287E53"/>
    <w:rsid w:val="0029161E"/>
    <w:rsid w:val="00296E52"/>
    <w:rsid w:val="002A2038"/>
    <w:rsid w:val="002A31E2"/>
    <w:rsid w:val="002A6539"/>
    <w:rsid w:val="002A66AE"/>
    <w:rsid w:val="002B1C54"/>
    <w:rsid w:val="002B6224"/>
    <w:rsid w:val="002C168B"/>
    <w:rsid w:val="002C2E09"/>
    <w:rsid w:val="002E043D"/>
    <w:rsid w:val="002E23C7"/>
    <w:rsid w:val="002F0987"/>
    <w:rsid w:val="002F193A"/>
    <w:rsid w:val="002F2362"/>
    <w:rsid w:val="002F36DC"/>
    <w:rsid w:val="002F3AAA"/>
    <w:rsid w:val="002F5EC6"/>
    <w:rsid w:val="0030356A"/>
    <w:rsid w:val="00307BBE"/>
    <w:rsid w:val="00315958"/>
    <w:rsid w:val="0032088E"/>
    <w:rsid w:val="00320F5F"/>
    <w:rsid w:val="0033031E"/>
    <w:rsid w:val="00332F96"/>
    <w:rsid w:val="00333CE0"/>
    <w:rsid w:val="0033692A"/>
    <w:rsid w:val="00336F55"/>
    <w:rsid w:val="0033770C"/>
    <w:rsid w:val="0034339B"/>
    <w:rsid w:val="00352C90"/>
    <w:rsid w:val="00354167"/>
    <w:rsid w:val="003546DF"/>
    <w:rsid w:val="00357C60"/>
    <w:rsid w:val="00361093"/>
    <w:rsid w:val="003633D4"/>
    <w:rsid w:val="00363EF0"/>
    <w:rsid w:val="00372ADF"/>
    <w:rsid w:val="003767BA"/>
    <w:rsid w:val="00376805"/>
    <w:rsid w:val="0037765B"/>
    <w:rsid w:val="00381688"/>
    <w:rsid w:val="00383EC3"/>
    <w:rsid w:val="003849D9"/>
    <w:rsid w:val="0038592B"/>
    <w:rsid w:val="003A1085"/>
    <w:rsid w:val="003A45CB"/>
    <w:rsid w:val="003B245A"/>
    <w:rsid w:val="003C0558"/>
    <w:rsid w:val="003C689F"/>
    <w:rsid w:val="003C69C3"/>
    <w:rsid w:val="003D1811"/>
    <w:rsid w:val="003D3E11"/>
    <w:rsid w:val="003D426C"/>
    <w:rsid w:val="003D5F64"/>
    <w:rsid w:val="003E56BC"/>
    <w:rsid w:val="003E6E66"/>
    <w:rsid w:val="003F68EB"/>
    <w:rsid w:val="00401E1C"/>
    <w:rsid w:val="00412E6A"/>
    <w:rsid w:val="004230D6"/>
    <w:rsid w:val="004261B1"/>
    <w:rsid w:val="00426B26"/>
    <w:rsid w:val="00426F09"/>
    <w:rsid w:val="004339A5"/>
    <w:rsid w:val="00433FB6"/>
    <w:rsid w:val="004379DF"/>
    <w:rsid w:val="00444440"/>
    <w:rsid w:val="00447D71"/>
    <w:rsid w:val="00450F64"/>
    <w:rsid w:val="00451164"/>
    <w:rsid w:val="004654D6"/>
    <w:rsid w:val="00465583"/>
    <w:rsid w:val="0046662F"/>
    <w:rsid w:val="00470F6A"/>
    <w:rsid w:val="00474D10"/>
    <w:rsid w:val="0048463E"/>
    <w:rsid w:val="004859C0"/>
    <w:rsid w:val="0049504E"/>
    <w:rsid w:val="00497FCE"/>
    <w:rsid w:val="004A22E2"/>
    <w:rsid w:val="004A4520"/>
    <w:rsid w:val="004A519E"/>
    <w:rsid w:val="004B207D"/>
    <w:rsid w:val="004C2BBF"/>
    <w:rsid w:val="004C6C0E"/>
    <w:rsid w:val="004C6FF9"/>
    <w:rsid w:val="004D11ED"/>
    <w:rsid w:val="004D3D44"/>
    <w:rsid w:val="004D56EE"/>
    <w:rsid w:val="004D7780"/>
    <w:rsid w:val="004E43C2"/>
    <w:rsid w:val="004E66FF"/>
    <w:rsid w:val="004F6814"/>
    <w:rsid w:val="00503713"/>
    <w:rsid w:val="00503EFA"/>
    <w:rsid w:val="005073E9"/>
    <w:rsid w:val="00507E18"/>
    <w:rsid w:val="00510903"/>
    <w:rsid w:val="005112D4"/>
    <w:rsid w:val="00516FBC"/>
    <w:rsid w:val="00517FB2"/>
    <w:rsid w:val="00527254"/>
    <w:rsid w:val="0053194F"/>
    <w:rsid w:val="00537C9F"/>
    <w:rsid w:val="005460C8"/>
    <w:rsid w:val="005505DB"/>
    <w:rsid w:val="00555A23"/>
    <w:rsid w:val="00561121"/>
    <w:rsid w:val="0057462E"/>
    <w:rsid w:val="0057502D"/>
    <w:rsid w:val="005771E6"/>
    <w:rsid w:val="00577E38"/>
    <w:rsid w:val="005802BE"/>
    <w:rsid w:val="00580BB8"/>
    <w:rsid w:val="0058609C"/>
    <w:rsid w:val="00590A83"/>
    <w:rsid w:val="00590E21"/>
    <w:rsid w:val="005941CD"/>
    <w:rsid w:val="005947AA"/>
    <w:rsid w:val="0059663C"/>
    <w:rsid w:val="005971D4"/>
    <w:rsid w:val="005A2B44"/>
    <w:rsid w:val="005A4684"/>
    <w:rsid w:val="005B6A5A"/>
    <w:rsid w:val="005B6FC6"/>
    <w:rsid w:val="005C0CFF"/>
    <w:rsid w:val="005C1946"/>
    <w:rsid w:val="005C307C"/>
    <w:rsid w:val="005C634A"/>
    <w:rsid w:val="005C6D0F"/>
    <w:rsid w:val="005D2F38"/>
    <w:rsid w:val="005D39AA"/>
    <w:rsid w:val="005D4370"/>
    <w:rsid w:val="005D4F9E"/>
    <w:rsid w:val="005E3203"/>
    <w:rsid w:val="005F1293"/>
    <w:rsid w:val="005F3320"/>
    <w:rsid w:val="005F34AE"/>
    <w:rsid w:val="005F697E"/>
    <w:rsid w:val="00601E1F"/>
    <w:rsid w:val="00605F72"/>
    <w:rsid w:val="006060BC"/>
    <w:rsid w:val="00611203"/>
    <w:rsid w:val="00611F3B"/>
    <w:rsid w:val="00631081"/>
    <w:rsid w:val="00633221"/>
    <w:rsid w:val="00642BFC"/>
    <w:rsid w:val="00643BA7"/>
    <w:rsid w:val="00646B29"/>
    <w:rsid w:val="00651D54"/>
    <w:rsid w:val="006528EF"/>
    <w:rsid w:val="0065769C"/>
    <w:rsid w:val="00664A13"/>
    <w:rsid w:val="00670420"/>
    <w:rsid w:val="00671E27"/>
    <w:rsid w:val="00673B71"/>
    <w:rsid w:val="00681613"/>
    <w:rsid w:val="006825BA"/>
    <w:rsid w:val="0069420B"/>
    <w:rsid w:val="0069718B"/>
    <w:rsid w:val="006A2AF5"/>
    <w:rsid w:val="006A4B2A"/>
    <w:rsid w:val="006A7853"/>
    <w:rsid w:val="006B4297"/>
    <w:rsid w:val="006B4EE1"/>
    <w:rsid w:val="006B56FD"/>
    <w:rsid w:val="006C0F34"/>
    <w:rsid w:val="006C7581"/>
    <w:rsid w:val="006D112C"/>
    <w:rsid w:val="006D15DE"/>
    <w:rsid w:val="006D21BA"/>
    <w:rsid w:val="006D6426"/>
    <w:rsid w:val="006D67DF"/>
    <w:rsid w:val="006E1BED"/>
    <w:rsid w:val="006E236F"/>
    <w:rsid w:val="006E2A83"/>
    <w:rsid w:val="006E3916"/>
    <w:rsid w:val="006E41C5"/>
    <w:rsid w:val="006E479F"/>
    <w:rsid w:val="006E4A34"/>
    <w:rsid w:val="006E6D0D"/>
    <w:rsid w:val="006E7583"/>
    <w:rsid w:val="006F11A6"/>
    <w:rsid w:val="006F58B5"/>
    <w:rsid w:val="00702D3F"/>
    <w:rsid w:val="00704A0A"/>
    <w:rsid w:val="00715F76"/>
    <w:rsid w:val="00716408"/>
    <w:rsid w:val="007167F2"/>
    <w:rsid w:val="00717514"/>
    <w:rsid w:val="007215BC"/>
    <w:rsid w:val="0073144E"/>
    <w:rsid w:val="00731A13"/>
    <w:rsid w:val="007329FD"/>
    <w:rsid w:val="007358EC"/>
    <w:rsid w:val="00735EA1"/>
    <w:rsid w:val="00736D8A"/>
    <w:rsid w:val="007372B7"/>
    <w:rsid w:val="007459CD"/>
    <w:rsid w:val="007536A7"/>
    <w:rsid w:val="00757B06"/>
    <w:rsid w:val="00763906"/>
    <w:rsid w:val="00770D08"/>
    <w:rsid w:val="007831A6"/>
    <w:rsid w:val="00783E76"/>
    <w:rsid w:val="00786F8A"/>
    <w:rsid w:val="00787254"/>
    <w:rsid w:val="00792C69"/>
    <w:rsid w:val="00794D57"/>
    <w:rsid w:val="007A17CB"/>
    <w:rsid w:val="007A4A4E"/>
    <w:rsid w:val="007A718B"/>
    <w:rsid w:val="007B21B9"/>
    <w:rsid w:val="007B716D"/>
    <w:rsid w:val="007C41C1"/>
    <w:rsid w:val="007C7AE4"/>
    <w:rsid w:val="007C7B2F"/>
    <w:rsid w:val="007D3425"/>
    <w:rsid w:val="007D3476"/>
    <w:rsid w:val="007D7D1C"/>
    <w:rsid w:val="007E0CED"/>
    <w:rsid w:val="007E5A39"/>
    <w:rsid w:val="007F1FB6"/>
    <w:rsid w:val="007F4B98"/>
    <w:rsid w:val="00803201"/>
    <w:rsid w:val="00803422"/>
    <w:rsid w:val="00803BDF"/>
    <w:rsid w:val="0080445A"/>
    <w:rsid w:val="008063E2"/>
    <w:rsid w:val="00806813"/>
    <w:rsid w:val="0080723E"/>
    <w:rsid w:val="00813E4A"/>
    <w:rsid w:val="00814066"/>
    <w:rsid w:val="00817110"/>
    <w:rsid w:val="0082265F"/>
    <w:rsid w:val="00822885"/>
    <w:rsid w:val="008311C1"/>
    <w:rsid w:val="00833649"/>
    <w:rsid w:val="00834FD7"/>
    <w:rsid w:val="00836B84"/>
    <w:rsid w:val="00844E67"/>
    <w:rsid w:val="0084652B"/>
    <w:rsid w:val="00850A4B"/>
    <w:rsid w:val="008519A3"/>
    <w:rsid w:val="0085321C"/>
    <w:rsid w:val="00853CDF"/>
    <w:rsid w:val="0085475C"/>
    <w:rsid w:val="00863BF3"/>
    <w:rsid w:val="008665CF"/>
    <w:rsid w:val="008710F4"/>
    <w:rsid w:val="0087719E"/>
    <w:rsid w:val="0087745A"/>
    <w:rsid w:val="00880036"/>
    <w:rsid w:val="00884EAE"/>
    <w:rsid w:val="008850A3"/>
    <w:rsid w:val="00886DAF"/>
    <w:rsid w:val="00887F0D"/>
    <w:rsid w:val="00891A4E"/>
    <w:rsid w:val="008A2E0F"/>
    <w:rsid w:val="008A2EC4"/>
    <w:rsid w:val="008A65EE"/>
    <w:rsid w:val="008A71C8"/>
    <w:rsid w:val="008A7797"/>
    <w:rsid w:val="008B0162"/>
    <w:rsid w:val="008B208D"/>
    <w:rsid w:val="008B3236"/>
    <w:rsid w:val="008B4B28"/>
    <w:rsid w:val="008B514E"/>
    <w:rsid w:val="008C42E6"/>
    <w:rsid w:val="008C6FCD"/>
    <w:rsid w:val="008D279E"/>
    <w:rsid w:val="008D2FEE"/>
    <w:rsid w:val="008D3BE3"/>
    <w:rsid w:val="008E09A6"/>
    <w:rsid w:val="008E0EE4"/>
    <w:rsid w:val="008E17F2"/>
    <w:rsid w:val="008E2C8A"/>
    <w:rsid w:val="008E3A65"/>
    <w:rsid w:val="008E4758"/>
    <w:rsid w:val="008E696E"/>
    <w:rsid w:val="008F071F"/>
    <w:rsid w:val="008F3960"/>
    <w:rsid w:val="008F58EF"/>
    <w:rsid w:val="008F60A4"/>
    <w:rsid w:val="009013FA"/>
    <w:rsid w:val="0090783F"/>
    <w:rsid w:val="0091194B"/>
    <w:rsid w:val="009120D6"/>
    <w:rsid w:val="00912CDC"/>
    <w:rsid w:val="00913341"/>
    <w:rsid w:val="0091350C"/>
    <w:rsid w:val="009169B1"/>
    <w:rsid w:val="00916F7D"/>
    <w:rsid w:val="00920A75"/>
    <w:rsid w:val="009269A9"/>
    <w:rsid w:val="00927AFB"/>
    <w:rsid w:val="00935339"/>
    <w:rsid w:val="009411DE"/>
    <w:rsid w:val="00944303"/>
    <w:rsid w:val="0094467C"/>
    <w:rsid w:val="00944D07"/>
    <w:rsid w:val="009460EF"/>
    <w:rsid w:val="00953793"/>
    <w:rsid w:val="00957317"/>
    <w:rsid w:val="00957636"/>
    <w:rsid w:val="00957D24"/>
    <w:rsid w:val="0096728C"/>
    <w:rsid w:val="009715DC"/>
    <w:rsid w:val="009761D0"/>
    <w:rsid w:val="009762E2"/>
    <w:rsid w:val="0098152C"/>
    <w:rsid w:val="00982F5A"/>
    <w:rsid w:val="0098314E"/>
    <w:rsid w:val="00993032"/>
    <w:rsid w:val="00994065"/>
    <w:rsid w:val="00996346"/>
    <w:rsid w:val="0099723A"/>
    <w:rsid w:val="009A0A9A"/>
    <w:rsid w:val="009A4897"/>
    <w:rsid w:val="009A6065"/>
    <w:rsid w:val="009B4577"/>
    <w:rsid w:val="009C03C9"/>
    <w:rsid w:val="009C530E"/>
    <w:rsid w:val="009C54E2"/>
    <w:rsid w:val="009D483A"/>
    <w:rsid w:val="009D6F8A"/>
    <w:rsid w:val="009D7F27"/>
    <w:rsid w:val="009E17A2"/>
    <w:rsid w:val="009E24A5"/>
    <w:rsid w:val="009F6320"/>
    <w:rsid w:val="00A00ECB"/>
    <w:rsid w:val="00A01A5B"/>
    <w:rsid w:val="00A04813"/>
    <w:rsid w:val="00A076F6"/>
    <w:rsid w:val="00A102A1"/>
    <w:rsid w:val="00A12622"/>
    <w:rsid w:val="00A145A7"/>
    <w:rsid w:val="00A16E20"/>
    <w:rsid w:val="00A2679F"/>
    <w:rsid w:val="00A26AD8"/>
    <w:rsid w:val="00A374B1"/>
    <w:rsid w:val="00A45CE3"/>
    <w:rsid w:val="00A50C68"/>
    <w:rsid w:val="00A50E7A"/>
    <w:rsid w:val="00A53223"/>
    <w:rsid w:val="00A53365"/>
    <w:rsid w:val="00A545EA"/>
    <w:rsid w:val="00A546C4"/>
    <w:rsid w:val="00A60447"/>
    <w:rsid w:val="00A616EE"/>
    <w:rsid w:val="00A7032C"/>
    <w:rsid w:val="00A84592"/>
    <w:rsid w:val="00A863E6"/>
    <w:rsid w:val="00A9137C"/>
    <w:rsid w:val="00A942BD"/>
    <w:rsid w:val="00AA38F5"/>
    <w:rsid w:val="00AB2778"/>
    <w:rsid w:val="00AB2D14"/>
    <w:rsid w:val="00AB4B28"/>
    <w:rsid w:val="00AB5FBB"/>
    <w:rsid w:val="00AC5B6A"/>
    <w:rsid w:val="00AD4A14"/>
    <w:rsid w:val="00AD67F6"/>
    <w:rsid w:val="00AD731B"/>
    <w:rsid w:val="00AE07AD"/>
    <w:rsid w:val="00AE1697"/>
    <w:rsid w:val="00AF63B7"/>
    <w:rsid w:val="00B01C84"/>
    <w:rsid w:val="00B055C7"/>
    <w:rsid w:val="00B17216"/>
    <w:rsid w:val="00B20D0D"/>
    <w:rsid w:val="00B21971"/>
    <w:rsid w:val="00B22888"/>
    <w:rsid w:val="00B24F80"/>
    <w:rsid w:val="00B256C4"/>
    <w:rsid w:val="00B31C63"/>
    <w:rsid w:val="00B34D4D"/>
    <w:rsid w:val="00B37AD0"/>
    <w:rsid w:val="00B41EC1"/>
    <w:rsid w:val="00B45A1C"/>
    <w:rsid w:val="00B55465"/>
    <w:rsid w:val="00B63AB2"/>
    <w:rsid w:val="00B646CD"/>
    <w:rsid w:val="00B66E74"/>
    <w:rsid w:val="00B741B7"/>
    <w:rsid w:val="00B8259F"/>
    <w:rsid w:val="00B83F20"/>
    <w:rsid w:val="00B84307"/>
    <w:rsid w:val="00B85A9E"/>
    <w:rsid w:val="00B85EC7"/>
    <w:rsid w:val="00B862CE"/>
    <w:rsid w:val="00B92BAD"/>
    <w:rsid w:val="00B9438B"/>
    <w:rsid w:val="00BA1943"/>
    <w:rsid w:val="00BA3052"/>
    <w:rsid w:val="00BA4860"/>
    <w:rsid w:val="00BA6B40"/>
    <w:rsid w:val="00BA6E47"/>
    <w:rsid w:val="00BB308F"/>
    <w:rsid w:val="00BB3109"/>
    <w:rsid w:val="00BB379F"/>
    <w:rsid w:val="00BB392E"/>
    <w:rsid w:val="00BB714A"/>
    <w:rsid w:val="00BB751B"/>
    <w:rsid w:val="00BC10FF"/>
    <w:rsid w:val="00BC3744"/>
    <w:rsid w:val="00BC55FA"/>
    <w:rsid w:val="00BD4589"/>
    <w:rsid w:val="00BD7051"/>
    <w:rsid w:val="00BE771C"/>
    <w:rsid w:val="00BF2F27"/>
    <w:rsid w:val="00BF729F"/>
    <w:rsid w:val="00C077D1"/>
    <w:rsid w:val="00C17A3B"/>
    <w:rsid w:val="00C17B6A"/>
    <w:rsid w:val="00C17DE3"/>
    <w:rsid w:val="00C24B06"/>
    <w:rsid w:val="00C27FD6"/>
    <w:rsid w:val="00C34926"/>
    <w:rsid w:val="00C353C5"/>
    <w:rsid w:val="00C44BE6"/>
    <w:rsid w:val="00C479E5"/>
    <w:rsid w:val="00C54BC0"/>
    <w:rsid w:val="00C55376"/>
    <w:rsid w:val="00C62BC6"/>
    <w:rsid w:val="00C63806"/>
    <w:rsid w:val="00C64B1E"/>
    <w:rsid w:val="00C66452"/>
    <w:rsid w:val="00C67434"/>
    <w:rsid w:val="00C70381"/>
    <w:rsid w:val="00C71DB7"/>
    <w:rsid w:val="00C71DD8"/>
    <w:rsid w:val="00C73C89"/>
    <w:rsid w:val="00C76625"/>
    <w:rsid w:val="00C81825"/>
    <w:rsid w:val="00C87ACA"/>
    <w:rsid w:val="00C90341"/>
    <w:rsid w:val="00C90C84"/>
    <w:rsid w:val="00C91E45"/>
    <w:rsid w:val="00C925AD"/>
    <w:rsid w:val="00C956E6"/>
    <w:rsid w:val="00C9702E"/>
    <w:rsid w:val="00CA756F"/>
    <w:rsid w:val="00CB5F74"/>
    <w:rsid w:val="00CB7BD0"/>
    <w:rsid w:val="00CC1D9D"/>
    <w:rsid w:val="00CC4505"/>
    <w:rsid w:val="00CC4FD1"/>
    <w:rsid w:val="00CD1A0E"/>
    <w:rsid w:val="00CD4A96"/>
    <w:rsid w:val="00CD500C"/>
    <w:rsid w:val="00CF1486"/>
    <w:rsid w:val="00CF2D40"/>
    <w:rsid w:val="00CF4463"/>
    <w:rsid w:val="00D02259"/>
    <w:rsid w:val="00D05667"/>
    <w:rsid w:val="00D061C3"/>
    <w:rsid w:val="00D069D1"/>
    <w:rsid w:val="00D070A0"/>
    <w:rsid w:val="00D111E1"/>
    <w:rsid w:val="00D11D4F"/>
    <w:rsid w:val="00D123A8"/>
    <w:rsid w:val="00D14E4C"/>
    <w:rsid w:val="00D167C4"/>
    <w:rsid w:val="00D22107"/>
    <w:rsid w:val="00D2212D"/>
    <w:rsid w:val="00D30A9E"/>
    <w:rsid w:val="00D34D36"/>
    <w:rsid w:val="00D36233"/>
    <w:rsid w:val="00D36EA3"/>
    <w:rsid w:val="00D41DD6"/>
    <w:rsid w:val="00D46BF7"/>
    <w:rsid w:val="00D500B8"/>
    <w:rsid w:val="00D50ACC"/>
    <w:rsid w:val="00D50DF6"/>
    <w:rsid w:val="00D56D20"/>
    <w:rsid w:val="00D667D8"/>
    <w:rsid w:val="00D70859"/>
    <w:rsid w:val="00D7648A"/>
    <w:rsid w:val="00D76CAD"/>
    <w:rsid w:val="00D80177"/>
    <w:rsid w:val="00D834FD"/>
    <w:rsid w:val="00D90534"/>
    <w:rsid w:val="00D91FDE"/>
    <w:rsid w:val="00D928C2"/>
    <w:rsid w:val="00D92D5C"/>
    <w:rsid w:val="00D95373"/>
    <w:rsid w:val="00D95A4F"/>
    <w:rsid w:val="00D979D5"/>
    <w:rsid w:val="00D97FBC"/>
    <w:rsid w:val="00DA3B28"/>
    <w:rsid w:val="00DA5CB3"/>
    <w:rsid w:val="00DB1F0A"/>
    <w:rsid w:val="00DB2034"/>
    <w:rsid w:val="00DB573E"/>
    <w:rsid w:val="00DB7CED"/>
    <w:rsid w:val="00DC0632"/>
    <w:rsid w:val="00DC1388"/>
    <w:rsid w:val="00DC7570"/>
    <w:rsid w:val="00DD4C3A"/>
    <w:rsid w:val="00DE64BF"/>
    <w:rsid w:val="00DF09C5"/>
    <w:rsid w:val="00DF2202"/>
    <w:rsid w:val="00DF707C"/>
    <w:rsid w:val="00E02FB6"/>
    <w:rsid w:val="00E0564E"/>
    <w:rsid w:val="00E07174"/>
    <w:rsid w:val="00E11962"/>
    <w:rsid w:val="00E153AB"/>
    <w:rsid w:val="00E15504"/>
    <w:rsid w:val="00E161D3"/>
    <w:rsid w:val="00E16C57"/>
    <w:rsid w:val="00E215DA"/>
    <w:rsid w:val="00E27A67"/>
    <w:rsid w:val="00E31113"/>
    <w:rsid w:val="00E33BFB"/>
    <w:rsid w:val="00E367A9"/>
    <w:rsid w:val="00E45838"/>
    <w:rsid w:val="00E47D64"/>
    <w:rsid w:val="00E50FC9"/>
    <w:rsid w:val="00E51E39"/>
    <w:rsid w:val="00E52819"/>
    <w:rsid w:val="00E54F3E"/>
    <w:rsid w:val="00E62455"/>
    <w:rsid w:val="00E6280C"/>
    <w:rsid w:val="00E6307C"/>
    <w:rsid w:val="00E66078"/>
    <w:rsid w:val="00E73ECD"/>
    <w:rsid w:val="00E84C2C"/>
    <w:rsid w:val="00E87465"/>
    <w:rsid w:val="00E92145"/>
    <w:rsid w:val="00EA1AD0"/>
    <w:rsid w:val="00EB219C"/>
    <w:rsid w:val="00ED1FBC"/>
    <w:rsid w:val="00ED35CC"/>
    <w:rsid w:val="00ED585D"/>
    <w:rsid w:val="00EE0AD0"/>
    <w:rsid w:val="00EE6BEE"/>
    <w:rsid w:val="00EF4625"/>
    <w:rsid w:val="00EF795C"/>
    <w:rsid w:val="00F06D57"/>
    <w:rsid w:val="00F079D1"/>
    <w:rsid w:val="00F142EF"/>
    <w:rsid w:val="00F14A3D"/>
    <w:rsid w:val="00F21E8E"/>
    <w:rsid w:val="00F458D3"/>
    <w:rsid w:val="00F45BDC"/>
    <w:rsid w:val="00F476D9"/>
    <w:rsid w:val="00F50ACB"/>
    <w:rsid w:val="00F528B9"/>
    <w:rsid w:val="00F53925"/>
    <w:rsid w:val="00F57783"/>
    <w:rsid w:val="00F7340B"/>
    <w:rsid w:val="00F82507"/>
    <w:rsid w:val="00F8520C"/>
    <w:rsid w:val="00F85F4A"/>
    <w:rsid w:val="00F8637A"/>
    <w:rsid w:val="00F866DD"/>
    <w:rsid w:val="00F911C3"/>
    <w:rsid w:val="00F924A6"/>
    <w:rsid w:val="00F92F43"/>
    <w:rsid w:val="00FA23FB"/>
    <w:rsid w:val="00FB0E9A"/>
    <w:rsid w:val="00FB1AF0"/>
    <w:rsid w:val="00FB2237"/>
    <w:rsid w:val="00FB54EF"/>
    <w:rsid w:val="00FB6F9E"/>
    <w:rsid w:val="00FB71EE"/>
    <w:rsid w:val="00FC0F04"/>
    <w:rsid w:val="00FC11C8"/>
    <w:rsid w:val="00FC16BA"/>
    <w:rsid w:val="00FC60C0"/>
    <w:rsid w:val="00FD1B23"/>
    <w:rsid w:val="00FD702A"/>
    <w:rsid w:val="00FE4261"/>
    <w:rsid w:val="00FF12BA"/>
    <w:rsid w:val="00FF2486"/>
    <w:rsid w:val="00FF2F2F"/>
    <w:rsid w:val="00FF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A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562F"/>
    <w:rPr>
      <w:rFonts w:ascii="Arial" w:hAnsi="Arial" w:cs="Arial" w:hint="default"/>
      <w:b/>
      <w:bCs/>
      <w:color w:val="0000FF"/>
      <w:sz w:val="20"/>
      <w:szCs w:val="20"/>
      <w:u w:val="single"/>
    </w:rPr>
  </w:style>
  <w:style w:type="paragraph" w:styleId="BalloonText">
    <w:name w:val="Balloon Text"/>
    <w:basedOn w:val="Normal"/>
    <w:semiHidden/>
    <w:rsid w:val="001E189B"/>
    <w:rPr>
      <w:rFonts w:ascii="Tahoma" w:hAnsi="Tahoma" w:cs="Tahoma"/>
      <w:sz w:val="16"/>
      <w:szCs w:val="16"/>
    </w:rPr>
  </w:style>
  <w:style w:type="character" w:styleId="FollowedHyperlink">
    <w:name w:val="FollowedHyperlink"/>
    <w:rsid w:val="008E3A65"/>
    <w:rPr>
      <w:color w:val="800080"/>
      <w:u w:val="single"/>
    </w:rPr>
  </w:style>
  <w:style w:type="character" w:styleId="CommentReference">
    <w:name w:val="annotation reference"/>
    <w:semiHidden/>
    <w:rsid w:val="00A374B1"/>
    <w:rPr>
      <w:sz w:val="16"/>
      <w:szCs w:val="16"/>
    </w:rPr>
  </w:style>
  <w:style w:type="paragraph" w:styleId="CommentText">
    <w:name w:val="annotation text"/>
    <w:basedOn w:val="Normal"/>
    <w:semiHidden/>
    <w:rsid w:val="00A374B1"/>
    <w:rPr>
      <w:sz w:val="20"/>
      <w:szCs w:val="20"/>
    </w:rPr>
  </w:style>
  <w:style w:type="paragraph" w:styleId="CommentSubject">
    <w:name w:val="annotation subject"/>
    <w:basedOn w:val="CommentText"/>
    <w:next w:val="CommentText"/>
    <w:semiHidden/>
    <w:rsid w:val="00A374B1"/>
    <w:rPr>
      <w:b/>
      <w:bCs/>
    </w:rPr>
  </w:style>
  <w:style w:type="table" w:styleId="TableGrid">
    <w:name w:val="Table Grid"/>
    <w:basedOn w:val="TableNormal"/>
    <w:rsid w:val="006F5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22107"/>
    <w:pPr>
      <w:tabs>
        <w:tab w:val="center" w:pos="4320"/>
        <w:tab w:val="right" w:pos="8640"/>
      </w:tabs>
    </w:pPr>
  </w:style>
  <w:style w:type="paragraph" w:styleId="Footer">
    <w:name w:val="footer"/>
    <w:basedOn w:val="Normal"/>
    <w:link w:val="FooterChar"/>
    <w:uiPriority w:val="99"/>
    <w:rsid w:val="00D22107"/>
    <w:pPr>
      <w:tabs>
        <w:tab w:val="center" w:pos="4320"/>
        <w:tab w:val="right" w:pos="8640"/>
      </w:tabs>
    </w:pPr>
  </w:style>
  <w:style w:type="paragraph" w:customStyle="1" w:styleId="Default">
    <w:name w:val="Default"/>
    <w:rsid w:val="000F6EE2"/>
    <w:pPr>
      <w:autoSpaceDE w:val="0"/>
      <w:autoSpaceDN w:val="0"/>
      <w:adjustRightInd w:val="0"/>
    </w:pPr>
    <w:rPr>
      <w:rFonts w:ascii="Verdana" w:hAnsi="Verdana" w:cs="Verdana"/>
      <w:color w:val="000000"/>
      <w:sz w:val="24"/>
      <w:szCs w:val="24"/>
    </w:rPr>
  </w:style>
  <w:style w:type="paragraph" w:styleId="PlainText">
    <w:name w:val="Plain Text"/>
    <w:basedOn w:val="Normal"/>
    <w:link w:val="PlainTextChar"/>
    <w:uiPriority w:val="99"/>
    <w:unhideWhenUsed/>
    <w:rsid w:val="005F3320"/>
    <w:rPr>
      <w:rFonts w:ascii="Consolas" w:eastAsia="Calibri" w:hAnsi="Consolas"/>
      <w:sz w:val="21"/>
      <w:szCs w:val="21"/>
    </w:rPr>
  </w:style>
  <w:style w:type="character" w:customStyle="1" w:styleId="PlainTextChar">
    <w:name w:val="Plain Text Char"/>
    <w:link w:val="PlainText"/>
    <w:uiPriority w:val="99"/>
    <w:rsid w:val="005F3320"/>
    <w:rPr>
      <w:rFonts w:ascii="Consolas" w:eastAsia="Calibri" w:hAnsi="Consolas"/>
      <w:sz w:val="21"/>
      <w:szCs w:val="21"/>
    </w:rPr>
  </w:style>
  <w:style w:type="paragraph" w:styleId="NormalWeb">
    <w:name w:val="Normal (Web)"/>
    <w:basedOn w:val="Normal"/>
    <w:uiPriority w:val="99"/>
    <w:unhideWhenUsed/>
    <w:rsid w:val="001F3E71"/>
    <w:pPr>
      <w:spacing w:before="100" w:beforeAutospacing="1" w:after="100" w:afterAutospacing="1"/>
    </w:pPr>
  </w:style>
  <w:style w:type="character" w:customStyle="1" w:styleId="FooterChar">
    <w:name w:val="Footer Char"/>
    <w:link w:val="Footer"/>
    <w:uiPriority w:val="99"/>
    <w:rsid w:val="008B4B28"/>
    <w:rPr>
      <w:sz w:val="24"/>
      <w:szCs w:val="24"/>
    </w:rPr>
  </w:style>
  <w:style w:type="paragraph" w:styleId="ListParagraph">
    <w:name w:val="List Paragraph"/>
    <w:basedOn w:val="Normal"/>
    <w:uiPriority w:val="34"/>
    <w:qFormat/>
    <w:rsid w:val="00197C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A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562F"/>
    <w:rPr>
      <w:rFonts w:ascii="Arial" w:hAnsi="Arial" w:cs="Arial" w:hint="default"/>
      <w:b/>
      <w:bCs/>
      <w:color w:val="0000FF"/>
      <w:sz w:val="20"/>
      <w:szCs w:val="20"/>
      <w:u w:val="single"/>
    </w:rPr>
  </w:style>
  <w:style w:type="paragraph" w:styleId="BalloonText">
    <w:name w:val="Balloon Text"/>
    <w:basedOn w:val="Normal"/>
    <w:semiHidden/>
    <w:rsid w:val="001E189B"/>
    <w:rPr>
      <w:rFonts w:ascii="Tahoma" w:hAnsi="Tahoma" w:cs="Tahoma"/>
      <w:sz w:val="16"/>
      <w:szCs w:val="16"/>
    </w:rPr>
  </w:style>
  <w:style w:type="character" w:styleId="FollowedHyperlink">
    <w:name w:val="FollowedHyperlink"/>
    <w:rsid w:val="008E3A65"/>
    <w:rPr>
      <w:color w:val="800080"/>
      <w:u w:val="single"/>
    </w:rPr>
  </w:style>
  <w:style w:type="character" w:styleId="CommentReference">
    <w:name w:val="annotation reference"/>
    <w:semiHidden/>
    <w:rsid w:val="00A374B1"/>
    <w:rPr>
      <w:sz w:val="16"/>
      <w:szCs w:val="16"/>
    </w:rPr>
  </w:style>
  <w:style w:type="paragraph" w:styleId="CommentText">
    <w:name w:val="annotation text"/>
    <w:basedOn w:val="Normal"/>
    <w:semiHidden/>
    <w:rsid w:val="00A374B1"/>
    <w:rPr>
      <w:sz w:val="20"/>
      <w:szCs w:val="20"/>
    </w:rPr>
  </w:style>
  <w:style w:type="paragraph" w:styleId="CommentSubject">
    <w:name w:val="annotation subject"/>
    <w:basedOn w:val="CommentText"/>
    <w:next w:val="CommentText"/>
    <w:semiHidden/>
    <w:rsid w:val="00A374B1"/>
    <w:rPr>
      <w:b/>
      <w:bCs/>
    </w:rPr>
  </w:style>
  <w:style w:type="table" w:styleId="TableGrid">
    <w:name w:val="Table Grid"/>
    <w:basedOn w:val="TableNormal"/>
    <w:rsid w:val="006F5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22107"/>
    <w:pPr>
      <w:tabs>
        <w:tab w:val="center" w:pos="4320"/>
        <w:tab w:val="right" w:pos="8640"/>
      </w:tabs>
    </w:pPr>
  </w:style>
  <w:style w:type="paragraph" w:styleId="Footer">
    <w:name w:val="footer"/>
    <w:basedOn w:val="Normal"/>
    <w:link w:val="FooterChar"/>
    <w:uiPriority w:val="99"/>
    <w:rsid w:val="00D22107"/>
    <w:pPr>
      <w:tabs>
        <w:tab w:val="center" w:pos="4320"/>
        <w:tab w:val="right" w:pos="8640"/>
      </w:tabs>
    </w:pPr>
  </w:style>
  <w:style w:type="paragraph" w:customStyle="1" w:styleId="Default">
    <w:name w:val="Default"/>
    <w:rsid w:val="000F6EE2"/>
    <w:pPr>
      <w:autoSpaceDE w:val="0"/>
      <w:autoSpaceDN w:val="0"/>
      <w:adjustRightInd w:val="0"/>
    </w:pPr>
    <w:rPr>
      <w:rFonts w:ascii="Verdana" w:hAnsi="Verdana" w:cs="Verdana"/>
      <w:color w:val="000000"/>
      <w:sz w:val="24"/>
      <w:szCs w:val="24"/>
    </w:rPr>
  </w:style>
  <w:style w:type="paragraph" w:styleId="PlainText">
    <w:name w:val="Plain Text"/>
    <w:basedOn w:val="Normal"/>
    <w:link w:val="PlainTextChar"/>
    <w:uiPriority w:val="99"/>
    <w:unhideWhenUsed/>
    <w:rsid w:val="005F3320"/>
    <w:rPr>
      <w:rFonts w:ascii="Consolas" w:eastAsia="Calibri" w:hAnsi="Consolas"/>
      <w:sz w:val="21"/>
      <w:szCs w:val="21"/>
    </w:rPr>
  </w:style>
  <w:style w:type="character" w:customStyle="1" w:styleId="PlainTextChar">
    <w:name w:val="Plain Text Char"/>
    <w:link w:val="PlainText"/>
    <w:uiPriority w:val="99"/>
    <w:rsid w:val="005F3320"/>
    <w:rPr>
      <w:rFonts w:ascii="Consolas" w:eastAsia="Calibri" w:hAnsi="Consolas"/>
      <w:sz w:val="21"/>
      <w:szCs w:val="21"/>
    </w:rPr>
  </w:style>
  <w:style w:type="paragraph" w:styleId="NormalWeb">
    <w:name w:val="Normal (Web)"/>
    <w:basedOn w:val="Normal"/>
    <w:uiPriority w:val="99"/>
    <w:unhideWhenUsed/>
    <w:rsid w:val="001F3E71"/>
    <w:pPr>
      <w:spacing w:before="100" w:beforeAutospacing="1" w:after="100" w:afterAutospacing="1"/>
    </w:pPr>
  </w:style>
  <w:style w:type="character" w:customStyle="1" w:styleId="FooterChar">
    <w:name w:val="Footer Char"/>
    <w:link w:val="Footer"/>
    <w:uiPriority w:val="99"/>
    <w:rsid w:val="008B4B28"/>
    <w:rPr>
      <w:sz w:val="24"/>
      <w:szCs w:val="24"/>
    </w:rPr>
  </w:style>
  <w:style w:type="paragraph" w:styleId="ListParagraph">
    <w:name w:val="List Paragraph"/>
    <w:basedOn w:val="Normal"/>
    <w:uiPriority w:val="34"/>
    <w:qFormat/>
    <w:rsid w:val="00197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110">
      <w:bodyDiv w:val="1"/>
      <w:marLeft w:val="0"/>
      <w:marRight w:val="0"/>
      <w:marTop w:val="0"/>
      <w:marBottom w:val="0"/>
      <w:divBdr>
        <w:top w:val="none" w:sz="0" w:space="0" w:color="auto"/>
        <w:left w:val="none" w:sz="0" w:space="0" w:color="auto"/>
        <w:bottom w:val="none" w:sz="0" w:space="0" w:color="auto"/>
        <w:right w:val="none" w:sz="0" w:space="0" w:color="auto"/>
      </w:divBdr>
    </w:div>
    <w:div w:id="90668990">
      <w:bodyDiv w:val="1"/>
      <w:marLeft w:val="0"/>
      <w:marRight w:val="0"/>
      <w:marTop w:val="0"/>
      <w:marBottom w:val="0"/>
      <w:divBdr>
        <w:top w:val="none" w:sz="0" w:space="0" w:color="auto"/>
        <w:left w:val="none" w:sz="0" w:space="0" w:color="auto"/>
        <w:bottom w:val="none" w:sz="0" w:space="0" w:color="auto"/>
        <w:right w:val="none" w:sz="0" w:space="0" w:color="auto"/>
      </w:divBdr>
    </w:div>
    <w:div w:id="107899230">
      <w:bodyDiv w:val="1"/>
      <w:marLeft w:val="0"/>
      <w:marRight w:val="0"/>
      <w:marTop w:val="0"/>
      <w:marBottom w:val="0"/>
      <w:divBdr>
        <w:top w:val="none" w:sz="0" w:space="0" w:color="auto"/>
        <w:left w:val="none" w:sz="0" w:space="0" w:color="auto"/>
        <w:bottom w:val="none" w:sz="0" w:space="0" w:color="auto"/>
        <w:right w:val="none" w:sz="0" w:space="0" w:color="auto"/>
      </w:divBdr>
    </w:div>
    <w:div w:id="125241692">
      <w:bodyDiv w:val="1"/>
      <w:marLeft w:val="0"/>
      <w:marRight w:val="0"/>
      <w:marTop w:val="0"/>
      <w:marBottom w:val="0"/>
      <w:divBdr>
        <w:top w:val="none" w:sz="0" w:space="0" w:color="auto"/>
        <w:left w:val="none" w:sz="0" w:space="0" w:color="auto"/>
        <w:bottom w:val="none" w:sz="0" w:space="0" w:color="auto"/>
        <w:right w:val="none" w:sz="0" w:space="0" w:color="auto"/>
      </w:divBdr>
    </w:div>
    <w:div w:id="163739873">
      <w:bodyDiv w:val="1"/>
      <w:marLeft w:val="0"/>
      <w:marRight w:val="0"/>
      <w:marTop w:val="0"/>
      <w:marBottom w:val="0"/>
      <w:divBdr>
        <w:top w:val="none" w:sz="0" w:space="0" w:color="auto"/>
        <w:left w:val="none" w:sz="0" w:space="0" w:color="auto"/>
        <w:bottom w:val="none" w:sz="0" w:space="0" w:color="auto"/>
        <w:right w:val="none" w:sz="0" w:space="0" w:color="auto"/>
      </w:divBdr>
    </w:div>
    <w:div w:id="301424951">
      <w:bodyDiv w:val="1"/>
      <w:marLeft w:val="0"/>
      <w:marRight w:val="0"/>
      <w:marTop w:val="0"/>
      <w:marBottom w:val="0"/>
      <w:divBdr>
        <w:top w:val="none" w:sz="0" w:space="0" w:color="auto"/>
        <w:left w:val="none" w:sz="0" w:space="0" w:color="auto"/>
        <w:bottom w:val="none" w:sz="0" w:space="0" w:color="auto"/>
        <w:right w:val="none" w:sz="0" w:space="0" w:color="auto"/>
      </w:divBdr>
    </w:div>
    <w:div w:id="414589247">
      <w:bodyDiv w:val="1"/>
      <w:marLeft w:val="0"/>
      <w:marRight w:val="0"/>
      <w:marTop w:val="0"/>
      <w:marBottom w:val="0"/>
      <w:divBdr>
        <w:top w:val="none" w:sz="0" w:space="0" w:color="auto"/>
        <w:left w:val="none" w:sz="0" w:space="0" w:color="auto"/>
        <w:bottom w:val="none" w:sz="0" w:space="0" w:color="auto"/>
        <w:right w:val="none" w:sz="0" w:space="0" w:color="auto"/>
      </w:divBdr>
    </w:div>
    <w:div w:id="421800096">
      <w:bodyDiv w:val="1"/>
      <w:marLeft w:val="0"/>
      <w:marRight w:val="0"/>
      <w:marTop w:val="0"/>
      <w:marBottom w:val="0"/>
      <w:divBdr>
        <w:top w:val="none" w:sz="0" w:space="0" w:color="auto"/>
        <w:left w:val="none" w:sz="0" w:space="0" w:color="auto"/>
        <w:bottom w:val="none" w:sz="0" w:space="0" w:color="auto"/>
        <w:right w:val="none" w:sz="0" w:space="0" w:color="auto"/>
      </w:divBdr>
    </w:div>
    <w:div w:id="491796085">
      <w:bodyDiv w:val="1"/>
      <w:marLeft w:val="0"/>
      <w:marRight w:val="0"/>
      <w:marTop w:val="0"/>
      <w:marBottom w:val="0"/>
      <w:divBdr>
        <w:top w:val="none" w:sz="0" w:space="0" w:color="auto"/>
        <w:left w:val="none" w:sz="0" w:space="0" w:color="auto"/>
        <w:bottom w:val="none" w:sz="0" w:space="0" w:color="auto"/>
        <w:right w:val="none" w:sz="0" w:space="0" w:color="auto"/>
      </w:divBdr>
      <w:divsChild>
        <w:div w:id="16546437">
          <w:marLeft w:val="0"/>
          <w:marRight w:val="0"/>
          <w:marTop w:val="0"/>
          <w:marBottom w:val="0"/>
          <w:divBdr>
            <w:top w:val="none" w:sz="0" w:space="0" w:color="auto"/>
            <w:left w:val="none" w:sz="0" w:space="0" w:color="auto"/>
            <w:bottom w:val="none" w:sz="0" w:space="0" w:color="auto"/>
            <w:right w:val="none" w:sz="0" w:space="0" w:color="auto"/>
          </w:divBdr>
        </w:div>
        <w:div w:id="20936396">
          <w:marLeft w:val="0"/>
          <w:marRight w:val="0"/>
          <w:marTop w:val="0"/>
          <w:marBottom w:val="0"/>
          <w:divBdr>
            <w:top w:val="none" w:sz="0" w:space="0" w:color="auto"/>
            <w:left w:val="none" w:sz="0" w:space="0" w:color="auto"/>
            <w:bottom w:val="none" w:sz="0" w:space="0" w:color="auto"/>
            <w:right w:val="none" w:sz="0" w:space="0" w:color="auto"/>
          </w:divBdr>
        </w:div>
        <w:div w:id="65299393">
          <w:marLeft w:val="0"/>
          <w:marRight w:val="0"/>
          <w:marTop w:val="0"/>
          <w:marBottom w:val="0"/>
          <w:divBdr>
            <w:top w:val="none" w:sz="0" w:space="0" w:color="auto"/>
            <w:left w:val="none" w:sz="0" w:space="0" w:color="auto"/>
            <w:bottom w:val="none" w:sz="0" w:space="0" w:color="auto"/>
            <w:right w:val="none" w:sz="0" w:space="0" w:color="auto"/>
          </w:divBdr>
        </w:div>
        <w:div w:id="132868878">
          <w:marLeft w:val="0"/>
          <w:marRight w:val="0"/>
          <w:marTop w:val="0"/>
          <w:marBottom w:val="0"/>
          <w:divBdr>
            <w:top w:val="none" w:sz="0" w:space="0" w:color="auto"/>
            <w:left w:val="none" w:sz="0" w:space="0" w:color="auto"/>
            <w:bottom w:val="none" w:sz="0" w:space="0" w:color="auto"/>
            <w:right w:val="none" w:sz="0" w:space="0" w:color="auto"/>
          </w:divBdr>
        </w:div>
        <w:div w:id="272447336">
          <w:marLeft w:val="0"/>
          <w:marRight w:val="0"/>
          <w:marTop w:val="0"/>
          <w:marBottom w:val="0"/>
          <w:divBdr>
            <w:top w:val="none" w:sz="0" w:space="0" w:color="auto"/>
            <w:left w:val="none" w:sz="0" w:space="0" w:color="auto"/>
            <w:bottom w:val="none" w:sz="0" w:space="0" w:color="auto"/>
            <w:right w:val="none" w:sz="0" w:space="0" w:color="auto"/>
          </w:divBdr>
        </w:div>
        <w:div w:id="375929790">
          <w:marLeft w:val="0"/>
          <w:marRight w:val="0"/>
          <w:marTop w:val="0"/>
          <w:marBottom w:val="0"/>
          <w:divBdr>
            <w:top w:val="none" w:sz="0" w:space="0" w:color="auto"/>
            <w:left w:val="none" w:sz="0" w:space="0" w:color="auto"/>
            <w:bottom w:val="none" w:sz="0" w:space="0" w:color="auto"/>
            <w:right w:val="none" w:sz="0" w:space="0" w:color="auto"/>
          </w:divBdr>
        </w:div>
        <w:div w:id="489752790">
          <w:marLeft w:val="0"/>
          <w:marRight w:val="0"/>
          <w:marTop w:val="0"/>
          <w:marBottom w:val="0"/>
          <w:divBdr>
            <w:top w:val="none" w:sz="0" w:space="0" w:color="auto"/>
            <w:left w:val="none" w:sz="0" w:space="0" w:color="auto"/>
            <w:bottom w:val="none" w:sz="0" w:space="0" w:color="auto"/>
            <w:right w:val="none" w:sz="0" w:space="0" w:color="auto"/>
          </w:divBdr>
        </w:div>
        <w:div w:id="492181194">
          <w:marLeft w:val="0"/>
          <w:marRight w:val="0"/>
          <w:marTop w:val="0"/>
          <w:marBottom w:val="0"/>
          <w:divBdr>
            <w:top w:val="none" w:sz="0" w:space="0" w:color="auto"/>
            <w:left w:val="none" w:sz="0" w:space="0" w:color="auto"/>
            <w:bottom w:val="none" w:sz="0" w:space="0" w:color="auto"/>
            <w:right w:val="none" w:sz="0" w:space="0" w:color="auto"/>
          </w:divBdr>
        </w:div>
        <w:div w:id="585765636">
          <w:marLeft w:val="0"/>
          <w:marRight w:val="0"/>
          <w:marTop w:val="0"/>
          <w:marBottom w:val="0"/>
          <w:divBdr>
            <w:top w:val="none" w:sz="0" w:space="0" w:color="auto"/>
            <w:left w:val="none" w:sz="0" w:space="0" w:color="auto"/>
            <w:bottom w:val="none" w:sz="0" w:space="0" w:color="auto"/>
            <w:right w:val="none" w:sz="0" w:space="0" w:color="auto"/>
          </w:divBdr>
        </w:div>
        <w:div w:id="880753638">
          <w:marLeft w:val="0"/>
          <w:marRight w:val="0"/>
          <w:marTop w:val="0"/>
          <w:marBottom w:val="0"/>
          <w:divBdr>
            <w:top w:val="none" w:sz="0" w:space="0" w:color="auto"/>
            <w:left w:val="none" w:sz="0" w:space="0" w:color="auto"/>
            <w:bottom w:val="none" w:sz="0" w:space="0" w:color="auto"/>
            <w:right w:val="none" w:sz="0" w:space="0" w:color="auto"/>
          </w:divBdr>
        </w:div>
        <w:div w:id="895697648">
          <w:marLeft w:val="0"/>
          <w:marRight w:val="0"/>
          <w:marTop w:val="0"/>
          <w:marBottom w:val="0"/>
          <w:divBdr>
            <w:top w:val="none" w:sz="0" w:space="0" w:color="auto"/>
            <w:left w:val="none" w:sz="0" w:space="0" w:color="auto"/>
            <w:bottom w:val="none" w:sz="0" w:space="0" w:color="auto"/>
            <w:right w:val="none" w:sz="0" w:space="0" w:color="auto"/>
          </w:divBdr>
        </w:div>
        <w:div w:id="987631977">
          <w:marLeft w:val="0"/>
          <w:marRight w:val="0"/>
          <w:marTop w:val="0"/>
          <w:marBottom w:val="0"/>
          <w:divBdr>
            <w:top w:val="none" w:sz="0" w:space="0" w:color="auto"/>
            <w:left w:val="none" w:sz="0" w:space="0" w:color="auto"/>
            <w:bottom w:val="none" w:sz="0" w:space="0" w:color="auto"/>
            <w:right w:val="none" w:sz="0" w:space="0" w:color="auto"/>
          </w:divBdr>
        </w:div>
        <w:div w:id="1615747977">
          <w:marLeft w:val="0"/>
          <w:marRight w:val="0"/>
          <w:marTop w:val="0"/>
          <w:marBottom w:val="0"/>
          <w:divBdr>
            <w:top w:val="none" w:sz="0" w:space="0" w:color="auto"/>
            <w:left w:val="none" w:sz="0" w:space="0" w:color="auto"/>
            <w:bottom w:val="none" w:sz="0" w:space="0" w:color="auto"/>
            <w:right w:val="none" w:sz="0" w:space="0" w:color="auto"/>
          </w:divBdr>
        </w:div>
        <w:div w:id="2001108732">
          <w:marLeft w:val="0"/>
          <w:marRight w:val="0"/>
          <w:marTop w:val="0"/>
          <w:marBottom w:val="0"/>
          <w:divBdr>
            <w:top w:val="none" w:sz="0" w:space="0" w:color="auto"/>
            <w:left w:val="none" w:sz="0" w:space="0" w:color="auto"/>
            <w:bottom w:val="none" w:sz="0" w:space="0" w:color="auto"/>
            <w:right w:val="none" w:sz="0" w:space="0" w:color="auto"/>
          </w:divBdr>
        </w:div>
        <w:div w:id="2039237815">
          <w:marLeft w:val="0"/>
          <w:marRight w:val="0"/>
          <w:marTop w:val="0"/>
          <w:marBottom w:val="0"/>
          <w:divBdr>
            <w:top w:val="none" w:sz="0" w:space="0" w:color="auto"/>
            <w:left w:val="none" w:sz="0" w:space="0" w:color="auto"/>
            <w:bottom w:val="none" w:sz="0" w:space="0" w:color="auto"/>
            <w:right w:val="none" w:sz="0" w:space="0" w:color="auto"/>
          </w:divBdr>
        </w:div>
        <w:div w:id="2044087708">
          <w:marLeft w:val="0"/>
          <w:marRight w:val="0"/>
          <w:marTop w:val="0"/>
          <w:marBottom w:val="0"/>
          <w:divBdr>
            <w:top w:val="none" w:sz="0" w:space="0" w:color="auto"/>
            <w:left w:val="none" w:sz="0" w:space="0" w:color="auto"/>
            <w:bottom w:val="none" w:sz="0" w:space="0" w:color="auto"/>
            <w:right w:val="none" w:sz="0" w:space="0" w:color="auto"/>
          </w:divBdr>
        </w:div>
        <w:div w:id="2067683781">
          <w:marLeft w:val="0"/>
          <w:marRight w:val="0"/>
          <w:marTop w:val="0"/>
          <w:marBottom w:val="0"/>
          <w:divBdr>
            <w:top w:val="none" w:sz="0" w:space="0" w:color="auto"/>
            <w:left w:val="none" w:sz="0" w:space="0" w:color="auto"/>
            <w:bottom w:val="none" w:sz="0" w:space="0" w:color="auto"/>
            <w:right w:val="none" w:sz="0" w:space="0" w:color="auto"/>
          </w:divBdr>
        </w:div>
        <w:div w:id="2080860004">
          <w:marLeft w:val="0"/>
          <w:marRight w:val="0"/>
          <w:marTop w:val="0"/>
          <w:marBottom w:val="0"/>
          <w:divBdr>
            <w:top w:val="none" w:sz="0" w:space="0" w:color="auto"/>
            <w:left w:val="none" w:sz="0" w:space="0" w:color="auto"/>
            <w:bottom w:val="none" w:sz="0" w:space="0" w:color="auto"/>
            <w:right w:val="none" w:sz="0" w:space="0" w:color="auto"/>
          </w:divBdr>
        </w:div>
      </w:divsChild>
    </w:div>
    <w:div w:id="516773239">
      <w:bodyDiv w:val="1"/>
      <w:marLeft w:val="0"/>
      <w:marRight w:val="0"/>
      <w:marTop w:val="0"/>
      <w:marBottom w:val="0"/>
      <w:divBdr>
        <w:top w:val="none" w:sz="0" w:space="0" w:color="auto"/>
        <w:left w:val="none" w:sz="0" w:space="0" w:color="auto"/>
        <w:bottom w:val="none" w:sz="0" w:space="0" w:color="auto"/>
        <w:right w:val="none" w:sz="0" w:space="0" w:color="auto"/>
      </w:divBdr>
      <w:divsChild>
        <w:div w:id="1510557358">
          <w:marLeft w:val="0"/>
          <w:marRight w:val="0"/>
          <w:marTop w:val="0"/>
          <w:marBottom w:val="0"/>
          <w:divBdr>
            <w:top w:val="none" w:sz="0" w:space="0" w:color="auto"/>
            <w:left w:val="none" w:sz="0" w:space="0" w:color="auto"/>
            <w:bottom w:val="none" w:sz="0" w:space="0" w:color="auto"/>
            <w:right w:val="none" w:sz="0" w:space="0" w:color="auto"/>
          </w:divBdr>
        </w:div>
      </w:divsChild>
    </w:div>
    <w:div w:id="553931010">
      <w:bodyDiv w:val="1"/>
      <w:marLeft w:val="0"/>
      <w:marRight w:val="0"/>
      <w:marTop w:val="0"/>
      <w:marBottom w:val="0"/>
      <w:divBdr>
        <w:top w:val="none" w:sz="0" w:space="0" w:color="auto"/>
        <w:left w:val="none" w:sz="0" w:space="0" w:color="auto"/>
        <w:bottom w:val="none" w:sz="0" w:space="0" w:color="auto"/>
        <w:right w:val="none" w:sz="0" w:space="0" w:color="auto"/>
      </w:divBdr>
    </w:div>
    <w:div w:id="602880589">
      <w:bodyDiv w:val="1"/>
      <w:marLeft w:val="0"/>
      <w:marRight w:val="0"/>
      <w:marTop w:val="0"/>
      <w:marBottom w:val="0"/>
      <w:divBdr>
        <w:top w:val="none" w:sz="0" w:space="0" w:color="auto"/>
        <w:left w:val="none" w:sz="0" w:space="0" w:color="auto"/>
        <w:bottom w:val="none" w:sz="0" w:space="0" w:color="auto"/>
        <w:right w:val="none" w:sz="0" w:space="0" w:color="auto"/>
      </w:divBdr>
      <w:divsChild>
        <w:div w:id="301010432">
          <w:marLeft w:val="0"/>
          <w:marRight w:val="0"/>
          <w:marTop w:val="0"/>
          <w:marBottom w:val="0"/>
          <w:divBdr>
            <w:top w:val="none" w:sz="0" w:space="0" w:color="auto"/>
            <w:left w:val="none" w:sz="0" w:space="0" w:color="auto"/>
            <w:bottom w:val="none" w:sz="0" w:space="0" w:color="auto"/>
            <w:right w:val="none" w:sz="0" w:space="0" w:color="auto"/>
          </w:divBdr>
        </w:div>
        <w:div w:id="366680287">
          <w:marLeft w:val="0"/>
          <w:marRight w:val="0"/>
          <w:marTop w:val="0"/>
          <w:marBottom w:val="0"/>
          <w:divBdr>
            <w:top w:val="none" w:sz="0" w:space="0" w:color="auto"/>
            <w:left w:val="none" w:sz="0" w:space="0" w:color="auto"/>
            <w:bottom w:val="none" w:sz="0" w:space="0" w:color="auto"/>
            <w:right w:val="none" w:sz="0" w:space="0" w:color="auto"/>
          </w:divBdr>
        </w:div>
        <w:div w:id="397485844">
          <w:marLeft w:val="0"/>
          <w:marRight w:val="0"/>
          <w:marTop w:val="0"/>
          <w:marBottom w:val="0"/>
          <w:divBdr>
            <w:top w:val="none" w:sz="0" w:space="0" w:color="auto"/>
            <w:left w:val="none" w:sz="0" w:space="0" w:color="auto"/>
            <w:bottom w:val="none" w:sz="0" w:space="0" w:color="auto"/>
            <w:right w:val="none" w:sz="0" w:space="0" w:color="auto"/>
          </w:divBdr>
        </w:div>
        <w:div w:id="548735481">
          <w:marLeft w:val="0"/>
          <w:marRight w:val="0"/>
          <w:marTop w:val="0"/>
          <w:marBottom w:val="0"/>
          <w:divBdr>
            <w:top w:val="none" w:sz="0" w:space="0" w:color="auto"/>
            <w:left w:val="none" w:sz="0" w:space="0" w:color="auto"/>
            <w:bottom w:val="none" w:sz="0" w:space="0" w:color="auto"/>
            <w:right w:val="none" w:sz="0" w:space="0" w:color="auto"/>
          </w:divBdr>
        </w:div>
        <w:div w:id="765927029">
          <w:marLeft w:val="0"/>
          <w:marRight w:val="0"/>
          <w:marTop w:val="0"/>
          <w:marBottom w:val="0"/>
          <w:divBdr>
            <w:top w:val="none" w:sz="0" w:space="0" w:color="auto"/>
            <w:left w:val="none" w:sz="0" w:space="0" w:color="auto"/>
            <w:bottom w:val="none" w:sz="0" w:space="0" w:color="auto"/>
            <w:right w:val="none" w:sz="0" w:space="0" w:color="auto"/>
          </w:divBdr>
        </w:div>
        <w:div w:id="873688124">
          <w:marLeft w:val="0"/>
          <w:marRight w:val="0"/>
          <w:marTop w:val="0"/>
          <w:marBottom w:val="0"/>
          <w:divBdr>
            <w:top w:val="none" w:sz="0" w:space="0" w:color="auto"/>
            <w:left w:val="none" w:sz="0" w:space="0" w:color="auto"/>
            <w:bottom w:val="none" w:sz="0" w:space="0" w:color="auto"/>
            <w:right w:val="none" w:sz="0" w:space="0" w:color="auto"/>
          </w:divBdr>
        </w:div>
        <w:div w:id="992752983">
          <w:marLeft w:val="0"/>
          <w:marRight w:val="0"/>
          <w:marTop w:val="0"/>
          <w:marBottom w:val="0"/>
          <w:divBdr>
            <w:top w:val="none" w:sz="0" w:space="0" w:color="auto"/>
            <w:left w:val="none" w:sz="0" w:space="0" w:color="auto"/>
            <w:bottom w:val="none" w:sz="0" w:space="0" w:color="auto"/>
            <w:right w:val="none" w:sz="0" w:space="0" w:color="auto"/>
          </w:divBdr>
        </w:div>
        <w:div w:id="1015884433">
          <w:marLeft w:val="0"/>
          <w:marRight w:val="0"/>
          <w:marTop w:val="0"/>
          <w:marBottom w:val="0"/>
          <w:divBdr>
            <w:top w:val="none" w:sz="0" w:space="0" w:color="auto"/>
            <w:left w:val="none" w:sz="0" w:space="0" w:color="auto"/>
            <w:bottom w:val="none" w:sz="0" w:space="0" w:color="auto"/>
            <w:right w:val="none" w:sz="0" w:space="0" w:color="auto"/>
          </w:divBdr>
        </w:div>
        <w:div w:id="1042829847">
          <w:marLeft w:val="0"/>
          <w:marRight w:val="0"/>
          <w:marTop w:val="0"/>
          <w:marBottom w:val="0"/>
          <w:divBdr>
            <w:top w:val="none" w:sz="0" w:space="0" w:color="auto"/>
            <w:left w:val="none" w:sz="0" w:space="0" w:color="auto"/>
            <w:bottom w:val="none" w:sz="0" w:space="0" w:color="auto"/>
            <w:right w:val="none" w:sz="0" w:space="0" w:color="auto"/>
          </w:divBdr>
        </w:div>
        <w:div w:id="1095590794">
          <w:marLeft w:val="0"/>
          <w:marRight w:val="0"/>
          <w:marTop w:val="0"/>
          <w:marBottom w:val="0"/>
          <w:divBdr>
            <w:top w:val="none" w:sz="0" w:space="0" w:color="auto"/>
            <w:left w:val="none" w:sz="0" w:space="0" w:color="auto"/>
            <w:bottom w:val="none" w:sz="0" w:space="0" w:color="auto"/>
            <w:right w:val="none" w:sz="0" w:space="0" w:color="auto"/>
          </w:divBdr>
        </w:div>
        <w:div w:id="1114321733">
          <w:marLeft w:val="0"/>
          <w:marRight w:val="0"/>
          <w:marTop w:val="0"/>
          <w:marBottom w:val="0"/>
          <w:divBdr>
            <w:top w:val="none" w:sz="0" w:space="0" w:color="auto"/>
            <w:left w:val="none" w:sz="0" w:space="0" w:color="auto"/>
            <w:bottom w:val="none" w:sz="0" w:space="0" w:color="auto"/>
            <w:right w:val="none" w:sz="0" w:space="0" w:color="auto"/>
          </w:divBdr>
        </w:div>
        <w:div w:id="1315063363">
          <w:marLeft w:val="0"/>
          <w:marRight w:val="0"/>
          <w:marTop w:val="0"/>
          <w:marBottom w:val="0"/>
          <w:divBdr>
            <w:top w:val="none" w:sz="0" w:space="0" w:color="auto"/>
            <w:left w:val="none" w:sz="0" w:space="0" w:color="auto"/>
            <w:bottom w:val="none" w:sz="0" w:space="0" w:color="auto"/>
            <w:right w:val="none" w:sz="0" w:space="0" w:color="auto"/>
          </w:divBdr>
        </w:div>
        <w:div w:id="1336377153">
          <w:marLeft w:val="0"/>
          <w:marRight w:val="0"/>
          <w:marTop w:val="0"/>
          <w:marBottom w:val="0"/>
          <w:divBdr>
            <w:top w:val="none" w:sz="0" w:space="0" w:color="auto"/>
            <w:left w:val="none" w:sz="0" w:space="0" w:color="auto"/>
            <w:bottom w:val="none" w:sz="0" w:space="0" w:color="auto"/>
            <w:right w:val="none" w:sz="0" w:space="0" w:color="auto"/>
          </w:divBdr>
        </w:div>
        <w:div w:id="1350445114">
          <w:marLeft w:val="0"/>
          <w:marRight w:val="0"/>
          <w:marTop w:val="0"/>
          <w:marBottom w:val="0"/>
          <w:divBdr>
            <w:top w:val="none" w:sz="0" w:space="0" w:color="auto"/>
            <w:left w:val="none" w:sz="0" w:space="0" w:color="auto"/>
            <w:bottom w:val="none" w:sz="0" w:space="0" w:color="auto"/>
            <w:right w:val="none" w:sz="0" w:space="0" w:color="auto"/>
          </w:divBdr>
        </w:div>
        <w:div w:id="1515338039">
          <w:marLeft w:val="0"/>
          <w:marRight w:val="0"/>
          <w:marTop w:val="0"/>
          <w:marBottom w:val="0"/>
          <w:divBdr>
            <w:top w:val="none" w:sz="0" w:space="0" w:color="auto"/>
            <w:left w:val="none" w:sz="0" w:space="0" w:color="auto"/>
            <w:bottom w:val="none" w:sz="0" w:space="0" w:color="auto"/>
            <w:right w:val="none" w:sz="0" w:space="0" w:color="auto"/>
          </w:divBdr>
        </w:div>
        <w:div w:id="1770814270">
          <w:marLeft w:val="0"/>
          <w:marRight w:val="0"/>
          <w:marTop w:val="0"/>
          <w:marBottom w:val="0"/>
          <w:divBdr>
            <w:top w:val="none" w:sz="0" w:space="0" w:color="auto"/>
            <w:left w:val="none" w:sz="0" w:space="0" w:color="auto"/>
            <w:bottom w:val="none" w:sz="0" w:space="0" w:color="auto"/>
            <w:right w:val="none" w:sz="0" w:space="0" w:color="auto"/>
          </w:divBdr>
        </w:div>
        <w:div w:id="1841195881">
          <w:marLeft w:val="0"/>
          <w:marRight w:val="0"/>
          <w:marTop w:val="0"/>
          <w:marBottom w:val="0"/>
          <w:divBdr>
            <w:top w:val="none" w:sz="0" w:space="0" w:color="auto"/>
            <w:left w:val="none" w:sz="0" w:space="0" w:color="auto"/>
            <w:bottom w:val="none" w:sz="0" w:space="0" w:color="auto"/>
            <w:right w:val="none" w:sz="0" w:space="0" w:color="auto"/>
          </w:divBdr>
        </w:div>
        <w:div w:id="1849171262">
          <w:marLeft w:val="0"/>
          <w:marRight w:val="0"/>
          <w:marTop w:val="0"/>
          <w:marBottom w:val="0"/>
          <w:divBdr>
            <w:top w:val="none" w:sz="0" w:space="0" w:color="auto"/>
            <w:left w:val="none" w:sz="0" w:space="0" w:color="auto"/>
            <w:bottom w:val="none" w:sz="0" w:space="0" w:color="auto"/>
            <w:right w:val="none" w:sz="0" w:space="0" w:color="auto"/>
          </w:divBdr>
        </w:div>
        <w:div w:id="2089765962">
          <w:marLeft w:val="0"/>
          <w:marRight w:val="0"/>
          <w:marTop w:val="0"/>
          <w:marBottom w:val="0"/>
          <w:divBdr>
            <w:top w:val="none" w:sz="0" w:space="0" w:color="auto"/>
            <w:left w:val="none" w:sz="0" w:space="0" w:color="auto"/>
            <w:bottom w:val="none" w:sz="0" w:space="0" w:color="auto"/>
            <w:right w:val="none" w:sz="0" w:space="0" w:color="auto"/>
          </w:divBdr>
        </w:div>
        <w:div w:id="2143881785">
          <w:marLeft w:val="0"/>
          <w:marRight w:val="0"/>
          <w:marTop w:val="0"/>
          <w:marBottom w:val="0"/>
          <w:divBdr>
            <w:top w:val="none" w:sz="0" w:space="0" w:color="auto"/>
            <w:left w:val="none" w:sz="0" w:space="0" w:color="auto"/>
            <w:bottom w:val="none" w:sz="0" w:space="0" w:color="auto"/>
            <w:right w:val="none" w:sz="0" w:space="0" w:color="auto"/>
          </w:divBdr>
        </w:div>
      </w:divsChild>
    </w:div>
    <w:div w:id="678048133">
      <w:bodyDiv w:val="1"/>
      <w:marLeft w:val="0"/>
      <w:marRight w:val="0"/>
      <w:marTop w:val="0"/>
      <w:marBottom w:val="0"/>
      <w:divBdr>
        <w:top w:val="none" w:sz="0" w:space="0" w:color="auto"/>
        <w:left w:val="none" w:sz="0" w:space="0" w:color="auto"/>
        <w:bottom w:val="none" w:sz="0" w:space="0" w:color="auto"/>
        <w:right w:val="none" w:sz="0" w:space="0" w:color="auto"/>
      </w:divBdr>
    </w:div>
    <w:div w:id="682825824">
      <w:bodyDiv w:val="1"/>
      <w:marLeft w:val="0"/>
      <w:marRight w:val="0"/>
      <w:marTop w:val="0"/>
      <w:marBottom w:val="0"/>
      <w:divBdr>
        <w:top w:val="none" w:sz="0" w:space="0" w:color="auto"/>
        <w:left w:val="none" w:sz="0" w:space="0" w:color="auto"/>
        <w:bottom w:val="none" w:sz="0" w:space="0" w:color="auto"/>
        <w:right w:val="none" w:sz="0" w:space="0" w:color="auto"/>
      </w:divBdr>
    </w:div>
    <w:div w:id="723337245">
      <w:bodyDiv w:val="1"/>
      <w:marLeft w:val="0"/>
      <w:marRight w:val="0"/>
      <w:marTop w:val="0"/>
      <w:marBottom w:val="0"/>
      <w:divBdr>
        <w:top w:val="none" w:sz="0" w:space="0" w:color="auto"/>
        <w:left w:val="none" w:sz="0" w:space="0" w:color="auto"/>
        <w:bottom w:val="none" w:sz="0" w:space="0" w:color="auto"/>
        <w:right w:val="none" w:sz="0" w:space="0" w:color="auto"/>
      </w:divBdr>
    </w:div>
    <w:div w:id="725684463">
      <w:bodyDiv w:val="1"/>
      <w:marLeft w:val="0"/>
      <w:marRight w:val="0"/>
      <w:marTop w:val="0"/>
      <w:marBottom w:val="0"/>
      <w:divBdr>
        <w:top w:val="none" w:sz="0" w:space="0" w:color="auto"/>
        <w:left w:val="none" w:sz="0" w:space="0" w:color="auto"/>
        <w:bottom w:val="none" w:sz="0" w:space="0" w:color="auto"/>
        <w:right w:val="none" w:sz="0" w:space="0" w:color="auto"/>
      </w:divBdr>
    </w:div>
    <w:div w:id="763571341">
      <w:bodyDiv w:val="1"/>
      <w:marLeft w:val="0"/>
      <w:marRight w:val="0"/>
      <w:marTop w:val="0"/>
      <w:marBottom w:val="0"/>
      <w:divBdr>
        <w:top w:val="none" w:sz="0" w:space="0" w:color="auto"/>
        <w:left w:val="none" w:sz="0" w:space="0" w:color="auto"/>
        <w:bottom w:val="none" w:sz="0" w:space="0" w:color="auto"/>
        <w:right w:val="none" w:sz="0" w:space="0" w:color="auto"/>
      </w:divBdr>
    </w:div>
    <w:div w:id="793476714">
      <w:bodyDiv w:val="1"/>
      <w:marLeft w:val="0"/>
      <w:marRight w:val="0"/>
      <w:marTop w:val="0"/>
      <w:marBottom w:val="0"/>
      <w:divBdr>
        <w:top w:val="none" w:sz="0" w:space="0" w:color="auto"/>
        <w:left w:val="none" w:sz="0" w:space="0" w:color="auto"/>
        <w:bottom w:val="none" w:sz="0" w:space="0" w:color="auto"/>
        <w:right w:val="none" w:sz="0" w:space="0" w:color="auto"/>
      </w:divBdr>
    </w:div>
    <w:div w:id="825053525">
      <w:bodyDiv w:val="1"/>
      <w:marLeft w:val="0"/>
      <w:marRight w:val="0"/>
      <w:marTop w:val="0"/>
      <w:marBottom w:val="0"/>
      <w:divBdr>
        <w:top w:val="none" w:sz="0" w:space="0" w:color="auto"/>
        <w:left w:val="none" w:sz="0" w:space="0" w:color="auto"/>
        <w:bottom w:val="none" w:sz="0" w:space="0" w:color="auto"/>
        <w:right w:val="none" w:sz="0" w:space="0" w:color="auto"/>
      </w:divBdr>
      <w:divsChild>
        <w:div w:id="13532386">
          <w:marLeft w:val="0"/>
          <w:marRight w:val="0"/>
          <w:marTop w:val="0"/>
          <w:marBottom w:val="0"/>
          <w:divBdr>
            <w:top w:val="none" w:sz="0" w:space="0" w:color="auto"/>
            <w:left w:val="none" w:sz="0" w:space="0" w:color="auto"/>
            <w:bottom w:val="none" w:sz="0" w:space="0" w:color="auto"/>
            <w:right w:val="none" w:sz="0" w:space="0" w:color="auto"/>
          </w:divBdr>
        </w:div>
        <w:div w:id="23288592">
          <w:marLeft w:val="0"/>
          <w:marRight w:val="0"/>
          <w:marTop w:val="0"/>
          <w:marBottom w:val="0"/>
          <w:divBdr>
            <w:top w:val="none" w:sz="0" w:space="0" w:color="auto"/>
            <w:left w:val="none" w:sz="0" w:space="0" w:color="auto"/>
            <w:bottom w:val="none" w:sz="0" w:space="0" w:color="auto"/>
            <w:right w:val="none" w:sz="0" w:space="0" w:color="auto"/>
          </w:divBdr>
        </w:div>
        <w:div w:id="28996327">
          <w:marLeft w:val="0"/>
          <w:marRight w:val="0"/>
          <w:marTop w:val="0"/>
          <w:marBottom w:val="0"/>
          <w:divBdr>
            <w:top w:val="none" w:sz="0" w:space="0" w:color="auto"/>
            <w:left w:val="none" w:sz="0" w:space="0" w:color="auto"/>
            <w:bottom w:val="none" w:sz="0" w:space="0" w:color="auto"/>
            <w:right w:val="none" w:sz="0" w:space="0" w:color="auto"/>
          </w:divBdr>
        </w:div>
        <w:div w:id="84107781">
          <w:marLeft w:val="0"/>
          <w:marRight w:val="0"/>
          <w:marTop w:val="0"/>
          <w:marBottom w:val="0"/>
          <w:divBdr>
            <w:top w:val="none" w:sz="0" w:space="0" w:color="auto"/>
            <w:left w:val="none" w:sz="0" w:space="0" w:color="auto"/>
            <w:bottom w:val="none" w:sz="0" w:space="0" w:color="auto"/>
            <w:right w:val="none" w:sz="0" w:space="0" w:color="auto"/>
          </w:divBdr>
        </w:div>
        <w:div w:id="104816920">
          <w:marLeft w:val="0"/>
          <w:marRight w:val="0"/>
          <w:marTop w:val="0"/>
          <w:marBottom w:val="0"/>
          <w:divBdr>
            <w:top w:val="none" w:sz="0" w:space="0" w:color="auto"/>
            <w:left w:val="none" w:sz="0" w:space="0" w:color="auto"/>
            <w:bottom w:val="none" w:sz="0" w:space="0" w:color="auto"/>
            <w:right w:val="none" w:sz="0" w:space="0" w:color="auto"/>
          </w:divBdr>
        </w:div>
        <w:div w:id="148712221">
          <w:marLeft w:val="0"/>
          <w:marRight w:val="0"/>
          <w:marTop w:val="0"/>
          <w:marBottom w:val="0"/>
          <w:divBdr>
            <w:top w:val="none" w:sz="0" w:space="0" w:color="auto"/>
            <w:left w:val="none" w:sz="0" w:space="0" w:color="auto"/>
            <w:bottom w:val="none" w:sz="0" w:space="0" w:color="auto"/>
            <w:right w:val="none" w:sz="0" w:space="0" w:color="auto"/>
          </w:divBdr>
        </w:div>
        <w:div w:id="296227379">
          <w:marLeft w:val="0"/>
          <w:marRight w:val="0"/>
          <w:marTop w:val="0"/>
          <w:marBottom w:val="0"/>
          <w:divBdr>
            <w:top w:val="none" w:sz="0" w:space="0" w:color="auto"/>
            <w:left w:val="none" w:sz="0" w:space="0" w:color="auto"/>
            <w:bottom w:val="none" w:sz="0" w:space="0" w:color="auto"/>
            <w:right w:val="none" w:sz="0" w:space="0" w:color="auto"/>
          </w:divBdr>
        </w:div>
        <w:div w:id="299581995">
          <w:marLeft w:val="0"/>
          <w:marRight w:val="0"/>
          <w:marTop w:val="0"/>
          <w:marBottom w:val="0"/>
          <w:divBdr>
            <w:top w:val="none" w:sz="0" w:space="0" w:color="auto"/>
            <w:left w:val="none" w:sz="0" w:space="0" w:color="auto"/>
            <w:bottom w:val="none" w:sz="0" w:space="0" w:color="auto"/>
            <w:right w:val="none" w:sz="0" w:space="0" w:color="auto"/>
          </w:divBdr>
        </w:div>
        <w:div w:id="423114157">
          <w:marLeft w:val="0"/>
          <w:marRight w:val="0"/>
          <w:marTop w:val="0"/>
          <w:marBottom w:val="0"/>
          <w:divBdr>
            <w:top w:val="none" w:sz="0" w:space="0" w:color="auto"/>
            <w:left w:val="none" w:sz="0" w:space="0" w:color="auto"/>
            <w:bottom w:val="none" w:sz="0" w:space="0" w:color="auto"/>
            <w:right w:val="none" w:sz="0" w:space="0" w:color="auto"/>
          </w:divBdr>
        </w:div>
        <w:div w:id="467936082">
          <w:marLeft w:val="0"/>
          <w:marRight w:val="0"/>
          <w:marTop w:val="0"/>
          <w:marBottom w:val="0"/>
          <w:divBdr>
            <w:top w:val="none" w:sz="0" w:space="0" w:color="auto"/>
            <w:left w:val="none" w:sz="0" w:space="0" w:color="auto"/>
            <w:bottom w:val="none" w:sz="0" w:space="0" w:color="auto"/>
            <w:right w:val="none" w:sz="0" w:space="0" w:color="auto"/>
          </w:divBdr>
        </w:div>
        <w:div w:id="482084389">
          <w:marLeft w:val="0"/>
          <w:marRight w:val="0"/>
          <w:marTop w:val="0"/>
          <w:marBottom w:val="0"/>
          <w:divBdr>
            <w:top w:val="none" w:sz="0" w:space="0" w:color="auto"/>
            <w:left w:val="none" w:sz="0" w:space="0" w:color="auto"/>
            <w:bottom w:val="none" w:sz="0" w:space="0" w:color="auto"/>
            <w:right w:val="none" w:sz="0" w:space="0" w:color="auto"/>
          </w:divBdr>
        </w:div>
        <w:div w:id="634600532">
          <w:marLeft w:val="0"/>
          <w:marRight w:val="0"/>
          <w:marTop w:val="0"/>
          <w:marBottom w:val="0"/>
          <w:divBdr>
            <w:top w:val="none" w:sz="0" w:space="0" w:color="auto"/>
            <w:left w:val="none" w:sz="0" w:space="0" w:color="auto"/>
            <w:bottom w:val="none" w:sz="0" w:space="0" w:color="auto"/>
            <w:right w:val="none" w:sz="0" w:space="0" w:color="auto"/>
          </w:divBdr>
        </w:div>
        <w:div w:id="644160814">
          <w:marLeft w:val="0"/>
          <w:marRight w:val="0"/>
          <w:marTop w:val="0"/>
          <w:marBottom w:val="0"/>
          <w:divBdr>
            <w:top w:val="none" w:sz="0" w:space="0" w:color="auto"/>
            <w:left w:val="none" w:sz="0" w:space="0" w:color="auto"/>
            <w:bottom w:val="none" w:sz="0" w:space="0" w:color="auto"/>
            <w:right w:val="none" w:sz="0" w:space="0" w:color="auto"/>
          </w:divBdr>
        </w:div>
        <w:div w:id="646662600">
          <w:marLeft w:val="0"/>
          <w:marRight w:val="0"/>
          <w:marTop w:val="0"/>
          <w:marBottom w:val="0"/>
          <w:divBdr>
            <w:top w:val="none" w:sz="0" w:space="0" w:color="auto"/>
            <w:left w:val="none" w:sz="0" w:space="0" w:color="auto"/>
            <w:bottom w:val="none" w:sz="0" w:space="0" w:color="auto"/>
            <w:right w:val="none" w:sz="0" w:space="0" w:color="auto"/>
          </w:divBdr>
        </w:div>
        <w:div w:id="673924449">
          <w:marLeft w:val="0"/>
          <w:marRight w:val="0"/>
          <w:marTop w:val="0"/>
          <w:marBottom w:val="0"/>
          <w:divBdr>
            <w:top w:val="none" w:sz="0" w:space="0" w:color="auto"/>
            <w:left w:val="none" w:sz="0" w:space="0" w:color="auto"/>
            <w:bottom w:val="none" w:sz="0" w:space="0" w:color="auto"/>
            <w:right w:val="none" w:sz="0" w:space="0" w:color="auto"/>
          </w:divBdr>
        </w:div>
        <w:div w:id="904532192">
          <w:marLeft w:val="0"/>
          <w:marRight w:val="0"/>
          <w:marTop w:val="0"/>
          <w:marBottom w:val="0"/>
          <w:divBdr>
            <w:top w:val="none" w:sz="0" w:space="0" w:color="auto"/>
            <w:left w:val="none" w:sz="0" w:space="0" w:color="auto"/>
            <w:bottom w:val="none" w:sz="0" w:space="0" w:color="auto"/>
            <w:right w:val="none" w:sz="0" w:space="0" w:color="auto"/>
          </w:divBdr>
        </w:div>
        <w:div w:id="918294165">
          <w:marLeft w:val="0"/>
          <w:marRight w:val="0"/>
          <w:marTop w:val="0"/>
          <w:marBottom w:val="0"/>
          <w:divBdr>
            <w:top w:val="none" w:sz="0" w:space="0" w:color="auto"/>
            <w:left w:val="none" w:sz="0" w:space="0" w:color="auto"/>
            <w:bottom w:val="none" w:sz="0" w:space="0" w:color="auto"/>
            <w:right w:val="none" w:sz="0" w:space="0" w:color="auto"/>
          </w:divBdr>
        </w:div>
        <w:div w:id="1006900239">
          <w:marLeft w:val="0"/>
          <w:marRight w:val="0"/>
          <w:marTop w:val="0"/>
          <w:marBottom w:val="0"/>
          <w:divBdr>
            <w:top w:val="none" w:sz="0" w:space="0" w:color="auto"/>
            <w:left w:val="none" w:sz="0" w:space="0" w:color="auto"/>
            <w:bottom w:val="none" w:sz="0" w:space="0" w:color="auto"/>
            <w:right w:val="none" w:sz="0" w:space="0" w:color="auto"/>
          </w:divBdr>
        </w:div>
        <w:div w:id="1118372181">
          <w:marLeft w:val="0"/>
          <w:marRight w:val="0"/>
          <w:marTop w:val="0"/>
          <w:marBottom w:val="0"/>
          <w:divBdr>
            <w:top w:val="none" w:sz="0" w:space="0" w:color="auto"/>
            <w:left w:val="none" w:sz="0" w:space="0" w:color="auto"/>
            <w:bottom w:val="none" w:sz="0" w:space="0" w:color="auto"/>
            <w:right w:val="none" w:sz="0" w:space="0" w:color="auto"/>
          </w:divBdr>
        </w:div>
        <w:div w:id="1133013289">
          <w:marLeft w:val="0"/>
          <w:marRight w:val="0"/>
          <w:marTop w:val="0"/>
          <w:marBottom w:val="0"/>
          <w:divBdr>
            <w:top w:val="none" w:sz="0" w:space="0" w:color="auto"/>
            <w:left w:val="none" w:sz="0" w:space="0" w:color="auto"/>
            <w:bottom w:val="none" w:sz="0" w:space="0" w:color="auto"/>
            <w:right w:val="none" w:sz="0" w:space="0" w:color="auto"/>
          </w:divBdr>
        </w:div>
        <w:div w:id="1212377136">
          <w:marLeft w:val="0"/>
          <w:marRight w:val="0"/>
          <w:marTop w:val="0"/>
          <w:marBottom w:val="0"/>
          <w:divBdr>
            <w:top w:val="none" w:sz="0" w:space="0" w:color="auto"/>
            <w:left w:val="none" w:sz="0" w:space="0" w:color="auto"/>
            <w:bottom w:val="none" w:sz="0" w:space="0" w:color="auto"/>
            <w:right w:val="none" w:sz="0" w:space="0" w:color="auto"/>
          </w:divBdr>
        </w:div>
        <w:div w:id="1260717043">
          <w:marLeft w:val="0"/>
          <w:marRight w:val="0"/>
          <w:marTop w:val="0"/>
          <w:marBottom w:val="0"/>
          <w:divBdr>
            <w:top w:val="none" w:sz="0" w:space="0" w:color="auto"/>
            <w:left w:val="none" w:sz="0" w:space="0" w:color="auto"/>
            <w:bottom w:val="none" w:sz="0" w:space="0" w:color="auto"/>
            <w:right w:val="none" w:sz="0" w:space="0" w:color="auto"/>
          </w:divBdr>
        </w:div>
        <w:div w:id="1583177333">
          <w:marLeft w:val="0"/>
          <w:marRight w:val="0"/>
          <w:marTop w:val="0"/>
          <w:marBottom w:val="0"/>
          <w:divBdr>
            <w:top w:val="none" w:sz="0" w:space="0" w:color="auto"/>
            <w:left w:val="none" w:sz="0" w:space="0" w:color="auto"/>
            <w:bottom w:val="none" w:sz="0" w:space="0" w:color="auto"/>
            <w:right w:val="none" w:sz="0" w:space="0" w:color="auto"/>
          </w:divBdr>
        </w:div>
        <w:div w:id="1596984826">
          <w:marLeft w:val="0"/>
          <w:marRight w:val="0"/>
          <w:marTop w:val="0"/>
          <w:marBottom w:val="0"/>
          <w:divBdr>
            <w:top w:val="none" w:sz="0" w:space="0" w:color="auto"/>
            <w:left w:val="none" w:sz="0" w:space="0" w:color="auto"/>
            <w:bottom w:val="none" w:sz="0" w:space="0" w:color="auto"/>
            <w:right w:val="none" w:sz="0" w:space="0" w:color="auto"/>
          </w:divBdr>
        </w:div>
        <w:div w:id="1920169365">
          <w:marLeft w:val="0"/>
          <w:marRight w:val="0"/>
          <w:marTop w:val="0"/>
          <w:marBottom w:val="0"/>
          <w:divBdr>
            <w:top w:val="none" w:sz="0" w:space="0" w:color="auto"/>
            <w:left w:val="none" w:sz="0" w:space="0" w:color="auto"/>
            <w:bottom w:val="none" w:sz="0" w:space="0" w:color="auto"/>
            <w:right w:val="none" w:sz="0" w:space="0" w:color="auto"/>
          </w:divBdr>
        </w:div>
        <w:div w:id="1945458545">
          <w:marLeft w:val="0"/>
          <w:marRight w:val="0"/>
          <w:marTop w:val="0"/>
          <w:marBottom w:val="0"/>
          <w:divBdr>
            <w:top w:val="none" w:sz="0" w:space="0" w:color="auto"/>
            <w:left w:val="none" w:sz="0" w:space="0" w:color="auto"/>
            <w:bottom w:val="none" w:sz="0" w:space="0" w:color="auto"/>
            <w:right w:val="none" w:sz="0" w:space="0" w:color="auto"/>
          </w:divBdr>
        </w:div>
        <w:div w:id="1952662382">
          <w:marLeft w:val="0"/>
          <w:marRight w:val="0"/>
          <w:marTop w:val="0"/>
          <w:marBottom w:val="0"/>
          <w:divBdr>
            <w:top w:val="none" w:sz="0" w:space="0" w:color="auto"/>
            <w:left w:val="none" w:sz="0" w:space="0" w:color="auto"/>
            <w:bottom w:val="none" w:sz="0" w:space="0" w:color="auto"/>
            <w:right w:val="none" w:sz="0" w:space="0" w:color="auto"/>
          </w:divBdr>
        </w:div>
      </w:divsChild>
    </w:div>
    <w:div w:id="1066955374">
      <w:bodyDiv w:val="1"/>
      <w:marLeft w:val="0"/>
      <w:marRight w:val="0"/>
      <w:marTop w:val="0"/>
      <w:marBottom w:val="0"/>
      <w:divBdr>
        <w:top w:val="none" w:sz="0" w:space="0" w:color="auto"/>
        <w:left w:val="none" w:sz="0" w:space="0" w:color="auto"/>
        <w:bottom w:val="none" w:sz="0" w:space="0" w:color="auto"/>
        <w:right w:val="none" w:sz="0" w:space="0" w:color="auto"/>
      </w:divBdr>
    </w:div>
    <w:div w:id="1181776687">
      <w:bodyDiv w:val="1"/>
      <w:marLeft w:val="0"/>
      <w:marRight w:val="0"/>
      <w:marTop w:val="0"/>
      <w:marBottom w:val="0"/>
      <w:divBdr>
        <w:top w:val="none" w:sz="0" w:space="0" w:color="auto"/>
        <w:left w:val="none" w:sz="0" w:space="0" w:color="auto"/>
        <w:bottom w:val="none" w:sz="0" w:space="0" w:color="auto"/>
        <w:right w:val="none" w:sz="0" w:space="0" w:color="auto"/>
      </w:divBdr>
      <w:divsChild>
        <w:div w:id="172038144">
          <w:marLeft w:val="0"/>
          <w:marRight w:val="0"/>
          <w:marTop w:val="0"/>
          <w:marBottom w:val="0"/>
          <w:divBdr>
            <w:top w:val="none" w:sz="0" w:space="0" w:color="auto"/>
            <w:left w:val="none" w:sz="0" w:space="0" w:color="auto"/>
            <w:bottom w:val="none" w:sz="0" w:space="0" w:color="auto"/>
            <w:right w:val="none" w:sz="0" w:space="0" w:color="auto"/>
          </w:divBdr>
        </w:div>
        <w:div w:id="203447900">
          <w:marLeft w:val="0"/>
          <w:marRight w:val="0"/>
          <w:marTop w:val="0"/>
          <w:marBottom w:val="0"/>
          <w:divBdr>
            <w:top w:val="none" w:sz="0" w:space="0" w:color="auto"/>
            <w:left w:val="none" w:sz="0" w:space="0" w:color="auto"/>
            <w:bottom w:val="none" w:sz="0" w:space="0" w:color="auto"/>
            <w:right w:val="none" w:sz="0" w:space="0" w:color="auto"/>
          </w:divBdr>
        </w:div>
        <w:div w:id="254024558">
          <w:marLeft w:val="0"/>
          <w:marRight w:val="0"/>
          <w:marTop w:val="0"/>
          <w:marBottom w:val="0"/>
          <w:divBdr>
            <w:top w:val="none" w:sz="0" w:space="0" w:color="auto"/>
            <w:left w:val="none" w:sz="0" w:space="0" w:color="auto"/>
            <w:bottom w:val="none" w:sz="0" w:space="0" w:color="auto"/>
            <w:right w:val="none" w:sz="0" w:space="0" w:color="auto"/>
          </w:divBdr>
        </w:div>
        <w:div w:id="366764029">
          <w:marLeft w:val="0"/>
          <w:marRight w:val="0"/>
          <w:marTop w:val="0"/>
          <w:marBottom w:val="0"/>
          <w:divBdr>
            <w:top w:val="none" w:sz="0" w:space="0" w:color="auto"/>
            <w:left w:val="none" w:sz="0" w:space="0" w:color="auto"/>
            <w:bottom w:val="none" w:sz="0" w:space="0" w:color="auto"/>
            <w:right w:val="none" w:sz="0" w:space="0" w:color="auto"/>
          </w:divBdr>
        </w:div>
        <w:div w:id="376005009">
          <w:marLeft w:val="0"/>
          <w:marRight w:val="0"/>
          <w:marTop w:val="0"/>
          <w:marBottom w:val="0"/>
          <w:divBdr>
            <w:top w:val="none" w:sz="0" w:space="0" w:color="auto"/>
            <w:left w:val="none" w:sz="0" w:space="0" w:color="auto"/>
            <w:bottom w:val="none" w:sz="0" w:space="0" w:color="auto"/>
            <w:right w:val="none" w:sz="0" w:space="0" w:color="auto"/>
          </w:divBdr>
        </w:div>
        <w:div w:id="378012110">
          <w:marLeft w:val="0"/>
          <w:marRight w:val="0"/>
          <w:marTop w:val="0"/>
          <w:marBottom w:val="0"/>
          <w:divBdr>
            <w:top w:val="none" w:sz="0" w:space="0" w:color="auto"/>
            <w:left w:val="none" w:sz="0" w:space="0" w:color="auto"/>
            <w:bottom w:val="none" w:sz="0" w:space="0" w:color="auto"/>
            <w:right w:val="none" w:sz="0" w:space="0" w:color="auto"/>
          </w:divBdr>
        </w:div>
        <w:div w:id="535168156">
          <w:marLeft w:val="0"/>
          <w:marRight w:val="0"/>
          <w:marTop w:val="0"/>
          <w:marBottom w:val="0"/>
          <w:divBdr>
            <w:top w:val="none" w:sz="0" w:space="0" w:color="auto"/>
            <w:left w:val="none" w:sz="0" w:space="0" w:color="auto"/>
            <w:bottom w:val="none" w:sz="0" w:space="0" w:color="auto"/>
            <w:right w:val="none" w:sz="0" w:space="0" w:color="auto"/>
          </w:divBdr>
        </w:div>
        <w:div w:id="566569050">
          <w:marLeft w:val="0"/>
          <w:marRight w:val="0"/>
          <w:marTop w:val="0"/>
          <w:marBottom w:val="0"/>
          <w:divBdr>
            <w:top w:val="none" w:sz="0" w:space="0" w:color="auto"/>
            <w:left w:val="none" w:sz="0" w:space="0" w:color="auto"/>
            <w:bottom w:val="none" w:sz="0" w:space="0" w:color="auto"/>
            <w:right w:val="none" w:sz="0" w:space="0" w:color="auto"/>
          </w:divBdr>
        </w:div>
        <w:div w:id="700014259">
          <w:marLeft w:val="0"/>
          <w:marRight w:val="0"/>
          <w:marTop w:val="0"/>
          <w:marBottom w:val="0"/>
          <w:divBdr>
            <w:top w:val="none" w:sz="0" w:space="0" w:color="auto"/>
            <w:left w:val="none" w:sz="0" w:space="0" w:color="auto"/>
            <w:bottom w:val="none" w:sz="0" w:space="0" w:color="auto"/>
            <w:right w:val="none" w:sz="0" w:space="0" w:color="auto"/>
          </w:divBdr>
        </w:div>
        <w:div w:id="710494052">
          <w:marLeft w:val="0"/>
          <w:marRight w:val="0"/>
          <w:marTop w:val="0"/>
          <w:marBottom w:val="0"/>
          <w:divBdr>
            <w:top w:val="none" w:sz="0" w:space="0" w:color="auto"/>
            <w:left w:val="none" w:sz="0" w:space="0" w:color="auto"/>
            <w:bottom w:val="none" w:sz="0" w:space="0" w:color="auto"/>
            <w:right w:val="none" w:sz="0" w:space="0" w:color="auto"/>
          </w:divBdr>
        </w:div>
        <w:div w:id="744837697">
          <w:marLeft w:val="0"/>
          <w:marRight w:val="0"/>
          <w:marTop w:val="0"/>
          <w:marBottom w:val="0"/>
          <w:divBdr>
            <w:top w:val="none" w:sz="0" w:space="0" w:color="auto"/>
            <w:left w:val="none" w:sz="0" w:space="0" w:color="auto"/>
            <w:bottom w:val="none" w:sz="0" w:space="0" w:color="auto"/>
            <w:right w:val="none" w:sz="0" w:space="0" w:color="auto"/>
          </w:divBdr>
        </w:div>
        <w:div w:id="1196888413">
          <w:marLeft w:val="0"/>
          <w:marRight w:val="0"/>
          <w:marTop w:val="0"/>
          <w:marBottom w:val="0"/>
          <w:divBdr>
            <w:top w:val="none" w:sz="0" w:space="0" w:color="auto"/>
            <w:left w:val="none" w:sz="0" w:space="0" w:color="auto"/>
            <w:bottom w:val="none" w:sz="0" w:space="0" w:color="auto"/>
            <w:right w:val="none" w:sz="0" w:space="0" w:color="auto"/>
          </w:divBdr>
        </w:div>
        <w:div w:id="1265069744">
          <w:marLeft w:val="0"/>
          <w:marRight w:val="0"/>
          <w:marTop w:val="0"/>
          <w:marBottom w:val="0"/>
          <w:divBdr>
            <w:top w:val="none" w:sz="0" w:space="0" w:color="auto"/>
            <w:left w:val="none" w:sz="0" w:space="0" w:color="auto"/>
            <w:bottom w:val="none" w:sz="0" w:space="0" w:color="auto"/>
            <w:right w:val="none" w:sz="0" w:space="0" w:color="auto"/>
          </w:divBdr>
        </w:div>
        <w:div w:id="1444497354">
          <w:marLeft w:val="0"/>
          <w:marRight w:val="0"/>
          <w:marTop w:val="0"/>
          <w:marBottom w:val="0"/>
          <w:divBdr>
            <w:top w:val="none" w:sz="0" w:space="0" w:color="auto"/>
            <w:left w:val="none" w:sz="0" w:space="0" w:color="auto"/>
            <w:bottom w:val="none" w:sz="0" w:space="0" w:color="auto"/>
            <w:right w:val="none" w:sz="0" w:space="0" w:color="auto"/>
          </w:divBdr>
        </w:div>
        <w:div w:id="1463959641">
          <w:marLeft w:val="0"/>
          <w:marRight w:val="0"/>
          <w:marTop w:val="0"/>
          <w:marBottom w:val="0"/>
          <w:divBdr>
            <w:top w:val="none" w:sz="0" w:space="0" w:color="auto"/>
            <w:left w:val="none" w:sz="0" w:space="0" w:color="auto"/>
            <w:bottom w:val="none" w:sz="0" w:space="0" w:color="auto"/>
            <w:right w:val="none" w:sz="0" w:space="0" w:color="auto"/>
          </w:divBdr>
        </w:div>
        <w:div w:id="1495876565">
          <w:marLeft w:val="0"/>
          <w:marRight w:val="0"/>
          <w:marTop w:val="0"/>
          <w:marBottom w:val="0"/>
          <w:divBdr>
            <w:top w:val="none" w:sz="0" w:space="0" w:color="auto"/>
            <w:left w:val="none" w:sz="0" w:space="0" w:color="auto"/>
            <w:bottom w:val="none" w:sz="0" w:space="0" w:color="auto"/>
            <w:right w:val="none" w:sz="0" w:space="0" w:color="auto"/>
          </w:divBdr>
        </w:div>
        <w:div w:id="1746368360">
          <w:marLeft w:val="0"/>
          <w:marRight w:val="0"/>
          <w:marTop w:val="0"/>
          <w:marBottom w:val="0"/>
          <w:divBdr>
            <w:top w:val="none" w:sz="0" w:space="0" w:color="auto"/>
            <w:left w:val="none" w:sz="0" w:space="0" w:color="auto"/>
            <w:bottom w:val="none" w:sz="0" w:space="0" w:color="auto"/>
            <w:right w:val="none" w:sz="0" w:space="0" w:color="auto"/>
          </w:divBdr>
        </w:div>
        <w:div w:id="1890921644">
          <w:marLeft w:val="0"/>
          <w:marRight w:val="0"/>
          <w:marTop w:val="0"/>
          <w:marBottom w:val="0"/>
          <w:divBdr>
            <w:top w:val="none" w:sz="0" w:space="0" w:color="auto"/>
            <w:left w:val="none" w:sz="0" w:space="0" w:color="auto"/>
            <w:bottom w:val="none" w:sz="0" w:space="0" w:color="auto"/>
            <w:right w:val="none" w:sz="0" w:space="0" w:color="auto"/>
          </w:divBdr>
        </w:div>
      </w:divsChild>
    </w:div>
    <w:div w:id="1237475563">
      <w:bodyDiv w:val="1"/>
      <w:marLeft w:val="0"/>
      <w:marRight w:val="0"/>
      <w:marTop w:val="0"/>
      <w:marBottom w:val="0"/>
      <w:divBdr>
        <w:top w:val="none" w:sz="0" w:space="0" w:color="auto"/>
        <w:left w:val="none" w:sz="0" w:space="0" w:color="auto"/>
        <w:bottom w:val="none" w:sz="0" w:space="0" w:color="auto"/>
        <w:right w:val="none" w:sz="0" w:space="0" w:color="auto"/>
      </w:divBdr>
    </w:div>
    <w:div w:id="1266310754">
      <w:bodyDiv w:val="1"/>
      <w:marLeft w:val="0"/>
      <w:marRight w:val="0"/>
      <w:marTop w:val="0"/>
      <w:marBottom w:val="0"/>
      <w:divBdr>
        <w:top w:val="none" w:sz="0" w:space="0" w:color="auto"/>
        <w:left w:val="none" w:sz="0" w:space="0" w:color="auto"/>
        <w:bottom w:val="none" w:sz="0" w:space="0" w:color="auto"/>
        <w:right w:val="none" w:sz="0" w:space="0" w:color="auto"/>
      </w:divBdr>
    </w:div>
    <w:div w:id="1327246121">
      <w:bodyDiv w:val="1"/>
      <w:marLeft w:val="0"/>
      <w:marRight w:val="0"/>
      <w:marTop w:val="0"/>
      <w:marBottom w:val="0"/>
      <w:divBdr>
        <w:top w:val="none" w:sz="0" w:space="0" w:color="auto"/>
        <w:left w:val="none" w:sz="0" w:space="0" w:color="auto"/>
        <w:bottom w:val="none" w:sz="0" w:space="0" w:color="auto"/>
        <w:right w:val="none" w:sz="0" w:space="0" w:color="auto"/>
      </w:divBdr>
      <w:divsChild>
        <w:div w:id="1704091296">
          <w:marLeft w:val="0"/>
          <w:marRight w:val="0"/>
          <w:marTop w:val="0"/>
          <w:marBottom w:val="0"/>
          <w:divBdr>
            <w:top w:val="none" w:sz="0" w:space="0" w:color="auto"/>
            <w:left w:val="none" w:sz="0" w:space="0" w:color="auto"/>
            <w:bottom w:val="none" w:sz="0" w:space="0" w:color="auto"/>
            <w:right w:val="none" w:sz="0" w:space="0" w:color="auto"/>
          </w:divBdr>
        </w:div>
      </w:divsChild>
    </w:div>
    <w:div w:id="1361012443">
      <w:bodyDiv w:val="1"/>
      <w:marLeft w:val="0"/>
      <w:marRight w:val="0"/>
      <w:marTop w:val="0"/>
      <w:marBottom w:val="0"/>
      <w:divBdr>
        <w:top w:val="none" w:sz="0" w:space="0" w:color="auto"/>
        <w:left w:val="none" w:sz="0" w:space="0" w:color="auto"/>
        <w:bottom w:val="none" w:sz="0" w:space="0" w:color="auto"/>
        <w:right w:val="none" w:sz="0" w:space="0" w:color="auto"/>
      </w:divBdr>
    </w:div>
    <w:div w:id="1398281191">
      <w:bodyDiv w:val="1"/>
      <w:marLeft w:val="0"/>
      <w:marRight w:val="0"/>
      <w:marTop w:val="0"/>
      <w:marBottom w:val="0"/>
      <w:divBdr>
        <w:top w:val="none" w:sz="0" w:space="0" w:color="auto"/>
        <w:left w:val="none" w:sz="0" w:space="0" w:color="auto"/>
        <w:bottom w:val="none" w:sz="0" w:space="0" w:color="auto"/>
        <w:right w:val="none" w:sz="0" w:space="0" w:color="auto"/>
      </w:divBdr>
    </w:div>
    <w:div w:id="1445268860">
      <w:bodyDiv w:val="1"/>
      <w:marLeft w:val="0"/>
      <w:marRight w:val="0"/>
      <w:marTop w:val="0"/>
      <w:marBottom w:val="0"/>
      <w:divBdr>
        <w:top w:val="none" w:sz="0" w:space="0" w:color="auto"/>
        <w:left w:val="none" w:sz="0" w:space="0" w:color="auto"/>
        <w:bottom w:val="none" w:sz="0" w:space="0" w:color="auto"/>
        <w:right w:val="none" w:sz="0" w:space="0" w:color="auto"/>
      </w:divBdr>
    </w:div>
    <w:div w:id="1447433666">
      <w:bodyDiv w:val="1"/>
      <w:marLeft w:val="0"/>
      <w:marRight w:val="0"/>
      <w:marTop w:val="0"/>
      <w:marBottom w:val="0"/>
      <w:divBdr>
        <w:top w:val="none" w:sz="0" w:space="0" w:color="auto"/>
        <w:left w:val="none" w:sz="0" w:space="0" w:color="auto"/>
        <w:bottom w:val="none" w:sz="0" w:space="0" w:color="auto"/>
        <w:right w:val="none" w:sz="0" w:space="0" w:color="auto"/>
      </w:divBdr>
    </w:div>
    <w:div w:id="1530027089">
      <w:bodyDiv w:val="1"/>
      <w:marLeft w:val="0"/>
      <w:marRight w:val="0"/>
      <w:marTop w:val="0"/>
      <w:marBottom w:val="0"/>
      <w:divBdr>
        <w:top w:val="none" w:sz="0" w:space="0" w:color="auto"/>
        <w:left w:val="none" w:sz="0" w:space="0" w:color="auto"/>
        <w:bottom w:val="none" w:sz="0" w:space="0" w:color="auto"/>
        <w:right w:val="none" w:sz="0" w:space="0" w:color="auto"/>
      </w:divBdr>
    </w:div>
    <w:div w:id="1534028228">
      <w:bodyDiv w:val="1"/>
      <w:marLeft w:val="0"/>
      <w:marRight w:val="0"/>
      <w:marTop w:val="0"/>
      <w:marBottom w:val="0"/>
      <w:divBdr>
        <w:top w:val="none" w:sz="0" w:space="0" w:color="auto"/>
        <w:left w:val="none" w:sz="0" w:space="0" w:color="auto"/>
        <w:bottom w:val="none" w:sz="0" w:space="0" w:color="auto"/>
        <w:right w:val="none" w:sz="0" w:space="0" w:color="auto"/>
      </w:divBdr>
    </w:div>
    <w:div w:id="1569608315">
      <w:bodyDiv w:val="1"/>
      <w:marLeft w:val="0"/>
      <w:marRight w:val="0"/>
      <w:marTop w:val="0"/>
      <w:marBottom w:val="0"/>
      <w:divBdr>
        <w:top w:val="none" w:sz="0" w:space="0" w:color="auto"/>
        <w:left w:val="none" w:sz="0" w:space="0" w:color="auto"/>
        <w:bottom w:val="none" w:sz="0" w:space="0" w:color="auto"/>
        <w:right w:val="none" w:sz="0" w:space="0" w:color="auto"/>
      </w:divBdr>
    </w:div>
    <w:div w:id="1774936242">
      <w:bodyDiv w:val="1"/>
      <w:marLeft w:val="0"/>
      <w:marRight w:val="0"/>
      <w:marTop w:val="0"/>
      <w:marBottom w:val="0"/>
      <w:divBdr>
        <w:top w:val="none" w:sz="0" w:space="0" w:color="auto"/>
        <w:left w:val="none" w:sz="0" w:space="0" w:color="auto"/>
        <w:bottom w:val="none" w:sz="0" w:space="0" w:color="auto"/>
        <w:right w:val="none" w:sz="0" w:space="0" w:color="auto"/>
      </w:divBdr>
    </w:div>
    <w:div w:id="1774981865">
      <w:bodyDiv w:val="1"/>
      <w:marLeft w:val="0"/>
      <w:marRight w:val="0"/>
      <w:marTop w:val="0"/>
      <w:marBottom w:val="0"/>
      <w:divBdr>
        <w:top w:val="none" w:sz="0" w:space="0" w:color="auto"/>
        <w:left w:val="none" w:sz="0" w:space="0" w:color="auto"/>
        <w:bottom w:val="none" w:sz="0" w:space="0" w:color="auto"/>
        <w:right w:val="none" w:sz="0" w:space="0" w:color="auto"/>
      </w:divBdr>
    </w:div>
    <w:div w:id="1793471685">
      <w:bodyDiv w:val="1"/>
      <w:marLeft w:val="0"/>
      <w:marRight w:val="0"/>
      <w:marTop w:val="0"/>
      <w:marBottom w:val="0"/>
      <w:divBdr>
        <w:top w:val="none" w:sz="0" w:space="0" w:color="auto"/>
        <w:left w:val="none" w:sz="0" w:space="0" w:color="auto"/>
        <w:bottom w:val="none" w:sz="0" w:space="0" w:color="auto"/>
        <w:right w:val="none" w:sz="0" w:space="0" w:color="auto"/>
      </w:divBdr>
      <w:divsChild>
        <w:div w:id="35855446">
          <w:marLeft w:val="0"/>
          <w:marRight w:val="0"/>
          <w:marTop w:val="0"/>
          <w:marBottom w:val="0"/>
          <w:divBdr>
            <w:top w:val="none" w:sz="0" w:space="0" w:color="auto"/>
            <w:left w:val="none" w:sz="0" w:space="0" w:color="auto"/>
            <w:bottom w:val="none" w:sz="0" w:space="0" w:color="auto"/>
            <w:right w:val="none" w:sz="0" w:space="0" w:color="auto"/>
          </w:divBdr>
        </w:div>
        <w:div w:id="293339943">
          <w:marLeft w:val="0"/>
          <w:marRight w:val="0"/>
          <w:marTop w:val="0"/>
          <w:marBottom w:val="0"/>
          <w:divBdr>
            <w:top w:val="none" w:sz="0" w:space="0" w:color="auto"/>
            <w:left w:val="none" w:sz="0" w:space="0" w:color="auto"/>
            <w:bottom w:val="none" w:sz="0" w:space="0" w:color="auto"/>
            <w:right w:val="none" w:sz="0" w:space="0" w:color="auto"/>
          </w:divBdr>
        </w:div>
        <w:div w:id="826627942">
          <w:marLeft w:val="0"/>
          <w:marRight w:val="0"/>
          <w:marTop w:val="0"/>
          <w:marBottom w:val="0"/>
          <w:divBdr>
            <w:top w:val="none" w:sz="0" w:space="0" w:color="auto"/>
            <w:left w:val="none" w:sz="0" w:space="0" w:color="auto"/>
            <w:bottom w:val="none" w:sz="0" w:space="0" w:color="auto"/>
            <w:right w:val="none" w:sz="0" w:space="0" w:color="auto"/>
          </w:divBdr>
        </w:div>
        <w:div w:id="1433404029">
          <w:marLeft w:val="0"/>
          <w:marRight w:val="0"/>
          <w:marTop w:val="0"/>
          <w:marBottom w:val="0"/>
          <w:divBdr>
            <w:top w:val="none" w:sz="0" w:space="0" w:color="auto"/>
            <w:left w:val="none" w:sz="0" w:space="0" w:color="auto"/>
            <w:bottom w:val="none" w:sz="0" w:space="0" w:color="auto"/>
            <w:right w:val="none" w:sz="0" w:space="0" w:color="auto"/>
          </w:divBdr>
        </w:div>
        <w:div w:id="1755782545">
          <w:marLeft w:val="0"/>
          <w:marRight w:val="0"/>
          <w:marTop w:val="0"/>
          <w:marBottom w:val="0"/>
          <w:divBdr>
            <w:top w:val="none" w:sz="0" w:space="0" w:color="auto"/>
            <w:left w:val="none" w:sz="0" w:space="0" w:color="auto"/>
            <w:bottom w:val="none" w:sz="0" w:space="0" w:color="auto"/>
            <w:right w:val="none" w:sz="0" w:space="0" w:color="auto"/>
          </w:divBdr>
        </w:div>
      </w:divsChild>
    </w:div>
    <w:div w:id="1982030737">
      <w:bodyDiv w:val="1"/>
      <w:marLeft w:val="0"/>
      <w:marRight w:val="0"/>
      <w:marTop w:val="0"/>
      <w:marBottom w:val="0"/>
      <w:divBdr>
        <w:top w:val="none" w:sz="0" w:space="0" w:color="auto"/>
        <w:left w:val="none" w:sz="0" w:space="0" w:color="auto"/>
        <w:bottom w:val="none" w:sz="0" w:space="0" w:color="auto"/>
        <w:right w:val="none" w:sz="0" w:space="0" w:color="auto"/>
      </w:divBdr>
    </w:div>
    <w:div w:id="1997343336">
      <w:bodyDiv w:val="1"/>
      <w:marLeft w:val="0"/>
      <w:marRight w:val="0"/>
      <w:marTop w:val="0"/>
      <w:marBottom w:val="0"/>
      <w:divBdr>
        <w:top w:val="none" w:sz="0" w:space="0" w:color="auto"/>
        <w:left w:val="none" w:sz="0" w:space="0" w:color="auto"/>
        <w:bottom w:val="none" w:sz="0" w:space="0" w:color="auto"/>
        <w:right w:val="none" w:sz="0" w:space="0" w:color="auto"/>
      </w:divBdr>
    </w:div>
    <w:div w:id="2029325974">
      <w:bodyDiv w:val="1"/>
      <w:marLeft w:val="0"/>
      <w:marRight w:val="0"/>
      <w:marTop w:val="0"/>
      <w:marBottom w:val="0"/>
      <w:divBdr>
        <w:top w:val="none" w:sz="0" w:space="0" w:color="auto"/>
        <w:left w:val="none" w:sz="0" w:space="0" w:color="auto"/>
        <w:bottom w:val="none" w:sz="0" w:space="0" w:color="auto"/>
        <w:right w:val="none" w:sz="0" w:space="0" w:color="auto"/>
      </w:divBdr>
      <w:divsChild>
        <w:div w:id="298658804">
          <w:marLeft w:val="0"/>
          <w:marRight w:val="0"/>
          <w:marTop w:val="0"/>
          <w:marBottom w:val="0"/>
          <w:divBdr>
            <w:top w:val="none" w:sz="0" w:space="0" w:color="auto"/>
            <w:left w:val="none" w:sz="0" w:space="0" w:color="auto"/>
            <w:bottom w:val="none" w:sz="0" w:space="0" w:color="auto"/>
            <w:right w:val="none" w:sz="0" w:space="0" w:color="auto"/>
          </w:divBdr>
        </w:div>
        <w:div w:id="814371176">
          <w:marLeft w:val="0"/>
          <w:marRight w:val="0"/>
          <w:marTop w:val="0"/>
          <w:marBottom w:val="0"/>
          <w:divBdr>
            <w:top w:val="none" w:sz="0" w:space="0" w:color="auto"/>
            <w:left w:val="none" w:sz="0" w:space="0" w:color="auto"/>
            <w:bottom w:val="none" w:sz="0" w:space="0" w:color="auto"/>
            <w:right w:val="none" w:sz="0" w:space="0" w:color="auto"/>
          </w:divBdr>
        </w:div>
        <w:div w:id="1075784297">
          <w:marLeft w:val="0"/>
          <w:marRight w:val="0"/>
          <w:marTop w:val="0"/>
          <w:marBottom w:val="0"/>
          <w:divBdr>
            <w:top w:val="none" w:sz="0" w:space="0" w:color="auto"/>
            <w:left w:val="none" w:sz="0" w:space="0" w:color="auto"/>
            <w:bottom w:val="none" w:sz="0" w:space="0" w:color="auto"/>
            <w:right w:val="none" w:sz="0" w:space="0" w:color="auto"/>
          </w:divBdr>
        </w:div>
        <w:div w:id="1592009885">
          <w:marLeft w:val="0"/>
          <w:marRight w:val="0"/>
          <w:marTop w:val="0"/>
          <w:marBottom w:val="0"/>
          <w:divBdr>
            <w:top w:val="none" w:sz="0" w:space="0" w:color="auto"/>
            <w:left w:val="none" w:sz="0" w:space="0" w:color="auto"/>
            <w:bottom w:val="none" w:sz="0" w:space="0" w:color="auto"/>
            <w:right w:val="none" w:sz="0" w:space="0" w:color="auto"/>
          </w:divBdr>
        </w:div>
        <w:div w:id="1967270072">
          <w:marLeft w:val="0"/>
          <w:marRight w:val="0"/>
          <w:marTop w:val="0"/>
          <w:marBottom w:val="0"/>
          <w:divBdr>
            <w:top w:val="none" w:sz="0" w:space="0" w:color="auto"/>
            <w:left w:val="none" w:sz="0" w:space="0" w:color="auto"/>
            <w:bottom w:val="none" w:sz="0" w:space="0" w:color="auto"/>
            <w:right w:val="none" w:sz="0" w:space="0" w:color="auto"/>
          </w:divBdr>
        </w:div>
      </w:divsChild>
    </w:div>
    <w:div w:id="2040013261">
      <w:bodyDiv w:val="1"/>
      <w:marLeft w:val="0"/>
      <w:marRight w:val="0"/>
      <w:marTop w:val="0"/>
      <w:marBottom w:val="0"/>
      <w:divBdr>
        <w:top w:val="none" w:sz="0" w:space="0" w:color="auto"/>
        <w:left w:val="none" w:sz="0" w:space="0" w:color="auto"/>
        <w:bottom w:val="none" w:sz="0" w:space="0" w:color="auto"/>
        <w:right w:val="none" w:sz="0" w:space="0" w:color="auto"/>
      </w:divBdr>
    </w:div>
    <w:div w:id="2051487673">
      <w:bodyDiv w:val="1"/>
      <w:marLeft w:val="0"/>
      <w:marRight w:val="0"/>
      <w:marTop w:val="0"/>
      <w:marBottom w:val="0"/>
      <w:divBdr>
        <w:top w:val="none" w:sz="0" w:space="0" w:color="auto"/>
        <w:left w:val="none" w:sz="0" w:space="0" w:color="auto"/>
        <w:bottom w:val="none" w:sz="0" w:space="0" w:color="auto"/>
        <w:right w:val="none" w:sz="0" w:space="0" w:color="auto"/>
      </w:divBdr>
    </w:div>
    <w:div w:id="2068453606">
      <w:bodyDiv w:val="1"/>
      <w:marLeft w:val="0"/>
      <w:marRight w:val="0"/>
      <w:marTop w:val="0"/>
      <w:marBottom w:val="0"/>
      <w:divBdr>
        <w:top w:val="none" w:sz="0" w:space="0" w:color="auto"/>
        <w:left w:val="none" w:sz="0" w:space="0" w:color="auto"/>
        <w:bottom w:val="none" w:sz="0" w:space="0" w:color="auto"/>
        <w:right w:val="none" w:sz="0" w:space="0" w:color="auto"/>
      </w:divBdr>
    </w:div>
    <w:div w:id="2116704067">
      <w:bodyDiv w:val="1"/>
      <w:marLeft w:val="0"/>
      <w:marRight w:val="0"/>
      <w:marTop w:val="0"/>
      <w:marBottom w:val="0"/>
      <w:divBdr>
        <w:top w:val="none" w:sz="0" w:space="0" w:color="auto"/>
        <w:left w:val="none" w:sz="0" w:space="0" w:color="auto"/>
        <w:bottom w:val="none" w:sz="0" w:space="0" w:color="auto"/>
        <w:right w:val="none" w:sz="0" w:space="0" w:color="auto"/>
      </w:divBdr>
      <w:divsChild>
        <w:div w:id="300577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31618-A4B5-4F22-BDC6-52690B6E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1274</Words>
  <Characters>7268</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DoD P&amp;T Committee Evaluation of Angiotensin-II Receptor Blockers (ARBs)</vt:lpstr>
    </vt:vector>
  </TitlesOfParts>
  <Company>U.S. Army</Company>
  <LinksUpToDate>false</LinksUpToDate>
  <CharactersWithSpaces>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 P&amp;T Committee Evaluation of Angiotensin-II Receptor Blockers (ARBs)</dc:title>
  <dc:creator>David R. Bretzke, PharmD</dc:creator>
  <cp:lastModifiedBy>Meyle, Jessica, CTR, OASD(HA)/TMA</cp:lastModifiedBy>
  <cp:revision>2</cp:revision>
  <cp:lastPrinted>2010-05-26T21:24:00Z</cp:lastPrinted>
  <dcterms:created xsi:type="dcterms:W3CDTF">2015-10-27T21:11:00Z</dcterms:created>
  <dcterms:modified xsi:type="dcterms:W3CDTF">2015-10-27T21:11:00Z</dcterms:modified>
</cp:coreProperties>
</file>