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6CBF" w:rsidRDefault="00CE6CBF" w:rsidP="00CE6CBF">
      <w:pPr>
        <w:pStyle w:val="Default"/>
        <w:jc w:val="center"/>
        <w:rPr>
          <w:b/>
          <w:bCs/>
          <w:sz w:val="28"/>
          <w:szCs w:val="28"/>
        </w:rPr>
      </w:pPr>
      <w:r>
        <w:rPr>
          <w:b/>
          <w:bCs/>
          <w:sz w:val="28"/>
          <w:szCs w:val="28"/>
        </w:rPr>
        <w:t xml:space="preserve">Uniform Formulary </w:t>
      </w:r>
    </w:p>
    <w:p w:rsidR="00CE6CBF" w:rsidRDefault="00CE6CBF" w:rsidP="00CE6CBF">
      <w:pPr>
        <w:pStyle w:val="Default"/>
        <w:jc w:val="center"/>
        <w:rPr>
          <w:sz w:val="28"/>
          <w:szCs w:val="28"/>
        </w:rPr>
      </w:pPr>
      <w:r>
        <w:rPr>
          <w:b/>
          <w:bCs/>
          <w:sz w:val="28"/>
          <w:szCs w:val="28"/>
        </w:rPr>
        <w:t>Pre-Proposal Teleconference</w:t>
      </w:r>
    </w:p>
    <w:p w:rsidR="00CE6CBF" w:rsidRDefault="00CE6CBF" w:rsidP="00CE6CBF">
      <w:pPr>
        <w:pStyle w:val="Default"/>
        <w:jc w:val="center"/>
        <w:rPr>
          <w:sz w:val="28"/>
          <w:szCs w:val="28"/>
        </w:rPr>
      </w:pPr>
      <w:r>
        <w:rPr>
          <w:b/>
          <w:bCs/>
          <w:sz w:val="28"/>
          <w:szCs w:val="28"/>
        </w:rPr>
        <w:t>August 23, 2016</w:t>
      </w:r>
    </w:p>
    <w:p w:rsidR="00CE6CBF" w:rsidRDefault="00CE6CBF" w:rsidP="00CE6CBF">
      <w:pPr>
        <w:pStyle w:val="Default"/>
        <w:jc w:val="center"/>
        <w:rPr>
          <w:b/>
          <w:bCs/>
          <w:sz w:val="28"/>
          <w:szCs w:val="28"/>
        </w:rPr>
      </w:pPr>
      <w:r>
        <w:rPr>
          <w:b/>
          <w:bCs/>
          <w:sz w:val="28"/>
          <w:szCs w:val="28"/>
        </w:rPr>
        <w:t>11:00pm MDT to 12:00pm MDT</w:t>
      </w:r>
    </w:p>
    <w:p w:rsidR="00CE6CBF" w:rsidRDefault="00CE6CBF" w:rsidP="00CE6CBF">
      <w:pPr>
        <w:pStyle w:val="Default"/>
        <w:jc w:val="center"/>
        <w:rPr>
          <w:sz w:val="28"/>
          <w:szCs w:val="28"/>
        </w:rPr>
      </w:pPr>
    </w:p>
    <w:p w:rsidR="00CE6CBF" w:rsidRDefault="00CE6CBF" w:rsidP="00CE6CBF">
      <w:pPr>
        <w:pStyle w:val="Default"/>
        <w:jc w:val="center"/>
        <w:rPr>
          <w:b/>
          <w:bCs/>
          <w:sz w:val="28"/>
          <w:szCs w:val="28"/>
        </w:rPr>
      </w:pPr>
      <w:r>
        <w:rPr>
          <w:b/>
          <w:bCs/>
          <w:sz w:val="28"/>
          <w:szCs w:val="28"/>
        </w:rPr>
        <w:t xml:space="preserve">Covering Quotes for the </w:t>
      </w:r>
    </w:p>
    <w:p w:rsidR="00CE6CBF" w:rsidRDefault="00CE6CBF" w:rsidP="00CE6CBF">
      <w:pPr>
        <w:pStyle w:val="Default"/>
        <w:jc w:val="center"/>
        <w:rPr>
          <w:sz w:val="28"/>
          <w:szCs w:val="28"/>
        </w:rPr>
      </w:pPr>
      <w:r>
        <w:rPr>
          <w:b/>
          <w:bCs/>
          <w:sz w:val="28"/>
          <w:szCs w:val="28"/>
        </w:rPr>
        <w:t>November 16-17, 2016</w:t>
      </w:r>
    </w:p>
    <w:p w:rsidR="00CE6CBF" w:rsidRDefault="00CE6CBF" w:rsidP="00CE6CBF">
      <w:pPr>
        <w:pStyle w:val="Default"/>
        <w:jc w:val="center"/>
        <w:rPr>
          <w:b/>
          <w:bCs/>
          <w:sz w:val="28"/>
          <w:szCs w:val="28"/>
        </w:rPr>
      </w:pPr>
      <w:proofErr w:type="gramStart"/>
      <w:r>
        <w:rPr>
          <w:b/>
          <w:bCs/>
          <w:sz w:val="28"/>
          <w:szCs w:val="28"/>
        </w:rPr>
        <w:t>DoD</w:t>
      </w:r>
      <w:proofErr w:type="gramEnd"/>
      <w:r>
        <w:rPr>
          <w:b/>
          <w:bCs/>
          <w:sz w:val="28"/>
          <w:szCs w:val="28"/>
        </w:rPr>
        <w:t xml:space="preserve"> P&amp;T Committee Reviews</w:t>
      </w:r>
    </w:p>
    <w:p w:rsidR="00CF4E53" w:rsidRPr="00470125" w:rsidRDefault="00CF4E53" w:rsidP="0012044E">
      <w:pPr>
        <w:pStyle w:val="Default"/>
        <w:spacing w:line="480" w:lineRule="auto"/>
        <w:rPr>
          <w:b/>
          <w:bCs/>
          <w:sz w:val="22"/>
          <w:szCs w:val="22"/>
        </w:rPr>
      </w:pPr>
    </w:p>
    <w:p w:rsidR="00805254" w:rsidRPr="0033374B" w:rsidRDefault="0012044E" w:rsidP="004966B9">
      <w:pPr>
        <w:pStyle w:val="Default"/>
        <w:numPr>
          <w:ilvl w:val="0"/>
          <w:numId w:val="2"/>
        </w:numPr>
        <w:spacing w:after="170"/>
        <w:contextualSpacing/>
        <w:rPr>
          <w:sz w:val="22"/>
          <w:szCs w:val="22"/>
        </w:rPr>
      </w:pPr>
      <w:r w:rsidRPr="0033374B">
        <w:rPr>
          <w:sz w:val="22"/>
          <w:szCs w:val="22"/>
        </w:rPr>
        <w:t>Attendance</w:t>
      </w:r>
    </w:p>
    <w:p w:rsidR="003B5FDE" w:rsidRPr="0033374B" w:rsidRDefault="00C5201D" w:rsidP="004966B9">
      <w:pPr>
        <w:pStyle w:val="ListParagraph"/>
        <w:spacing w:line="240" w:lineRule="auto"/>
        <w:rPr>
          <w:rFonts w:ascii="Arial" w:hAnsi="Arial" w:cs="Arial"/>
        </w:rPr>
      </w:pPr>
      <w:r w:rsidRPr="0033374B">
        <w:rPr>
          <w:rFonts w:ascii="Arial" w:hAnsi="Arial" w:cs="Arial"/>
        </w:rPr>
        <w:t xml:space="preserve">Dr. </w:t>
      </w:r>
      <w:r w:rsidR="00691863" w:rsidRPr="0033374B">
        <w:rPr>
          <w:rFonts w:ascii="Arial" w:hAnsi="Arial" w:cs="Arial"/>
        </w:rPr>
        <w:t>Chris</w:t>
      </w:r>
      <w:r w:rsidRPr="0033374B">
        <w:rPr>
          <w:rFonts w:ascii="Arial" w:hAnsi="Arial" w:cs="Arial"/>
        </w:rPr>
        <w:t xml:space="preserve"> Conrad – Strategic Sourcing / Industry Liaison, DHA Pharmacy Operations Division – San Antonio, TX</w:t>
      </w:r>
    </w:p>
    <w:p w:rsidR="00C5201D" w:rsidRPr="0033374B" w:rsidRDefault="00C5201D" w:rsidP="004966B9">
      <w:pPr>
        <w:pStyle w:val="ListParagraph"/>
        <w:spacing w:line="240" w:lineRule="auto"/>
        <w:rPr>
          <w:rFonts w:ascii="Arial" w:hAnsi="Arial" w:cs="Arial"/>
        </w:rPr>
      </w:pPr>
    </w:p>
    <w:p w:rsidR="003B5F50" w:rsidRPr="0033374B" w:rsidRDefault="003B5F50" w:rsidP="003B5F50">
      <w:pPr>
        <w:pStyle w:val="ListParagraph"/>
        <w:spacing w:line="240" w:lineRule="auto"/>
        <w:rPr>
          <w:rFonts w:ascii="Arial" w:hAnsi="Arial" w:cs="Arial"/>
        </w:rPr>
      </w:pPr>
      <w:r w:rsidRPr="0033374B">
        <w:rPr>
          <w:rFonts w:ascii="Arial" w:hAnsi="Arial" w:cs="Arial"/>
        </w:rPr>
        <w:t>Bruce Mitterer – Contracting Officer - DHA Contract Management</w:t>
      </w:r>
      <w:r w:rsidR="003131CD">
        <w:rPr>
          <w:rFonts w:ascii="Arial" w:hAnsi="Arial" w:cs="Arial"/>
        </w:rPr>
        <w:t xml:space="preserve"> – Aurora, CO</w:t>
      </w:r>
    </w:p>
    <w:p w:rsidR="003B5F50" w:rsidRPr="0033374B" w:rsidRDefault="003B5F50" w:rsidP="004966B9">
      <w:pPr>
        <w:pStyle w:val="ListParagraph"/>
        <w:spacing w:line="240" w:lineRule="auto"/>
        <w:rPr>
          <w:rFonts w:ascii="Arial" w:hAnsi="Arial" w:cs="Arial"/>
        </w:rPr>
      </w:pPr>
    </w:p>
    <w:p w:rsidR="00805254" w:rsidRPr="0033374B" w:rsidRDefault="0080062D" w:rsidP="004966B9">
      <w:pPr>
        <w:pStyle w:val="ListParagraph"/>
        <w:spacing w:line="240" w:lineRule="auto"/>
        <w:rPr>
          <w:rFonts w:ascii="Arial" w:hAnsi="Arial" w:cs="Arial"/>
        </w:rPr>
      </w:pPr>
      <w:r w:rsidRPr="0033374B">
        <w:rPr>
          <w:rFonts w:ascii="Arial" w:hAnsi="Arial" w:cs="Arial"/>
        </w:rPr>
        <w:t xml:space="preserve">Matthew Halbe – </w:t>
      </w:r>
      <w:r w:rsidR="00805254" w:rsidRPr="0033374B">
        <w:rPr>
          <w:rFonts w:ascii="Arial" w:hAnsi="Arial" w:cs="Arial"/>
        </w:rPr>
        <w:t>Contract Analyst – DHA Contract Management</w:t>
      </w:r>
      <w:r w:rsidR="003131CD">
        <w:rPr>
          <w:rFonts w:ascii="Arial" w:hAnsi="Arial" w:cs="Arial"/>
        </w:rPr>
        <w:t xml:space="preserve"> – Aurora, CO</w:t>
      </w:r>
    </w:p>
    <w:p w:rsidR="00C5201D" w:rsidRPr="0033374B" w:rsidRDefault="00C5201D" w:rsidP="004966B9">
      <w:pPr>
        <w:pStyle w:val="ListParagraph"/>
        <w:spacing w:line="240" w:lineRule="auto"/>
        <w:rPr>
          <w:rFonts w:ascii="Arial" w:hAnsi="Arial" w:cs="Arial"/>
        </w:rPr>
      </w:pPr>
    </w:p>
    <w:p w:rsidR="00CE6CBF" w:rsidRPr="0033374B" w:rsidRDefault="00A747C8" w:rsidP="00A5489A">
      <w:pPr>
        <w:pStyle w:val="Default"/>
        <w:numPr>
          <w:ilvl w:val="0"/>
          <w:numId w:val="2"/>
        </w:numPr>
        <w:contextualSpacing/>
        <w:rPr>
          <w:sz w:val="22"/>
          <w:szCs w:val="22"/>
        </w:rPr>
      </w:pPr>
      <w:r w:rsidRPr="0033374B">
        <w:rPr>
          <w:sz w:val="22"/>
          <w:szCs w:val="22"/>
        </w:rPr>
        <w:t xml:space="preserve">New </w:t>
      </w:r>
      <w:r w:rsidR="00933D6A">
        <w:rPr>
          <w:sz w:val="22"/>
          <w:szCs w:val="22"/>
        </w:rPr>
        <w:t>RFQ</w:t>
      </w:r>
      <w:r w:rsidR="0012044E" w:rsidRPr="0033374B">
        <w:rPr>
          <w:sz w:val="22"/>
          <w:szCs w:val="22"/>
        </w:rPr>
        <w:t xml:space="preserve"> Website: </w:t>
      </w:r>
      <w:r w:rsidR="00CE6CBF" w:rsidRPr="0033374B">
        <w:rPr>
          <w:sz w:val="22"/>
          <w:szCs w:val="22"/>
        </w:rPr>
        <w:t>http://www.health.mil/About-MHS/Other-MHS-Organizations/DoD-PT-Committee/Drug-Classes-New-Drugs-Under-Review/November-2016</w:t>
      </w:r>
    </w:p>
    <w:p w:rsidR="006A2067" w:rsidRPr="0033374B" w:rsidRDefault="006A2067" w:rsidP="00A5489A">
      <w:pPr>
        <w:pStyle w:val="Default"/>
        <w:spacing w:after="170"/>
        <w:ind w:left="720"/>
        <w:contextualSpacing/>
        <w:rPr>
          <w:color w:val="auto"/>
          <w:sz w:val="22"/>
          <w:szCs w:val="22"/>
        </w:rPr>
      </w:pPr>
    </w:p>
    <w:p w:rsidR="00CE6CBF" w:rsidRPr="0033374B" w:rsidRDefault="00CE6CBF" w:rsidP="00A5489A">
      <w:pPr>
        <w:pStyle w:val="Default"/>
        <w:numPr>
          <w:ilvl w:val="0"/>
          <w:numId w:val="2"/>
        </w:numPr>
        <w:spacing w:after="175"/>
        <w:contextualSpacing/>
        <w:rPr>
          <w:sz w:val="22"/>
          <w:szCs w:val="22"/>
        </w:rPr>
      </w:pPr>
      <w:r w:rsidRPr="0033374B">
        <w:rPr>
          <w:sz w:val="22"/>
          <w:szCs w:val="22"/>
        </w:rPr>
        <w:t>Drug Classes:</w:t>
      </w:r>
    </w:p>
    <w:p w:rsidR="00CE6CBF" w:rsidRPr="0033374B" w:rsidRDefault="00CE6CBF" w:rsidP="00A5489A">
      <w:pPr>
        <w:pStyle w:val="Default"/>
        <w:numPr>
          <w:ilvl w:val="1"/>
          <w:numId w:val="2"/>
        </w:numPr>
        <w:spacing w:after="175"/>
        <w:contextualSpacing/>
        <w:rPr>
          <w:b/>
          <w:sz w:val="22"/>
          <w:szCs w:val="22"/>
        </w:rPr>
      </w:pPr>
      <w:r w:rsidRPr="0033374B">
        <w:rPr>
          <w:b/>
          <w:sz w:val="22"/>
          <w:szCs w:val="22"/>
        </w:rPr>
        <w:t>Anticoagulants – Oral Anticoagulants</w:t>
      </w:r>
    </w:p>
    <w:p w:rsidR="00CE6CBF" w:rsidRPr="0033374B" w:rsidRDefault="00CE6CBF" w:rsidP="00A5489A">
      <w:pPr>
        <w:pStyle w:val="Default"/>
        <w:numPr>
          <w:ilvl w:val="1"/>
          <w:numId w:val="2"/>
        </w:numPr>
        <w:spacing w:after="175"/>
        <w:contextualSpacing/>
        <w:rPr>
          <w:b/>
          <w:sz w:val="22"/>
          <w:szCs w:val="22"/>
        </w:rPr>
      </w:pPr>
      <w:proofErr w:type="spellStart"/>
      <w:r w:rsidRPr="0033374B">
        <w:rPr>
          <w:b/>
          <w:sz w:val="22"/>
          <w:szCs w:val="22"/>
        </w:rPr>
        <w:t>Antilipidemics</w:t>
      </w:r>
      <w:proofErr w:type="spellEnd"/>
      <w:r w:rsidRPr="0033374B">
        <w:rPr>
          <w:b/>
          <w:sz w:val="22"/>
          <w:szCs w:val="22"/>
        </w:rPr>
        <w:t xml:space="preserve"> – PCSK9s</w:t>
      </w:r>
    </w:p>
    <w:p w:rsidR="00CE6CBF" w:rsidRPr="0033374B" w:rsidRDefault="00CE6CBF" w:rsidP="00A5489A">
      <w:pPr>
        <w:pStyle w:val="Default"/>
        <w:numPr>
          <w:ilvl w:val="1"/>
          <w:numId w:val="2"/>
        </w:numPr>
        <w:spacing w:after="175"/>
        <w:contextualSpacing/>
        <w:rPr>
          <w:b/>
          <w:sz w:val="22"/>
          <w:szCs w:val="22"/>
        </w:rPr>
      </w:pPr>
      <w:r w:rsidRPr="0033374B">
        <w:rPr>
          <w:b/>
          <w:sz w:val="22"/>
          <w:szCs w:val="22"/>
        </w:rPr>
        <w:t>Designated Newly Approved Drug</w:t>
      </w:r>
    </w:p>
    <w:p w:rsidR="00CE6CBF" w:rsidRPr="0033374B" w:rsidRDefault="00CE6CBF" w:rsidP="00A5489A">
      <w:pPr>
        <w:pStyle w:val="Default"/>
        <w:numPr>
          <w:ilvl w:val="2"/>
          <w:numId w:val="2"/>
        </w:numPr>
        <w:spacing w:after="175"/>
        <w:contextualSpacing/>
        <w:rPr>
          <w:b/>
          <w:sz w:val="22"/>
          <w:szCs w:val="22"/>
        </w:rPr>
      </w:pPr>
      <w:r w:rsidRPr="0033374B">
        <w:rPr>
          <w:b/>
          <w:sz w:val="22"/>
          <w:szCs w:val="22"/>
        </w:rPr>
        <w:t xml:space="preserve">Spiriva </w:t>
      </w:r>
      <w:proofErr w:type="spellStart"/>
      <w:r w:rsidRPr="0033374B">
        <w:rPr>
          <w:b/>
          <w:sz w:val="22"/>
          <w:szCs w:val="22"/>
        </w:rPr>
        <w:t>Respimat</w:t>
      </w:r>
      <w:proofErr w:type="spellEnd"/>
      <w:r w:rsidRPr="0033374B">
        <w:rPr>
          <w:b/>
          <w:sz w:val="22"/>
          <w:szCs w:val="22"/>
        </w:rPr>
        <w:t xml:space="preserve"> (</w:t>
      </w:r>
      <w:r w:rsidR="00A74323">
        <w:rPr>
          <w:b/>
          <w:sz w:val="22"/>
          <w:szCs w:val="22"/>
        </w:rPr>
        <w:t xml:space="preserve">Class: </w:t>
      </w:r>
      <w:r w:rsidRPr="0033374B">
        <w:rPr>
          <w:b/>
          <w:sz w:val="22"/>
          <w:szCs w:val="22"/>
        </w:rPr>
        <w:t xml:space="preserve">Pulmonary-2 Agent, </w:t>
      </w:r>
      <w:r w:rsidR="00A74323">
        <w:rPr>
          <w:b/>
          <w:sz w:val="22"/>
          <w:szCs w:val="22"/>
        </w:rPr>
        <w:t xml:space="preserve">Subclass: </w:t>
      </w:r>
      <w:r w:rsidRPr="0033374B">
        <w:rPr>
          <w:b/>
          <w:sz w:val="22"/>
          <w:szCs w:val="22"/>
        </w:rPr>
        <w:t>Long Acting Muscarinic Agent)</w:t>
      </w:r>
    </w:p>
    <w:p w:rsidR="00E50026" w:rsidRPr="0033374B" w:rsidRDefault="00E50026" w:rsidP="00E50026">
      <w:pPr>
        <w:pStyle w:val="Default"/>
        <w:ind w:left="720"/>
        <w:contextualSpacing/>
        <w:rPr>
          <w:sz w:val="22"/>
          <w:szCs w:val="22"/>
        </w:rPr>
      </w:pPr>
    </w:p>
    <w:p w:rsidR="0012044E" w:rsidRPr="0033374B" w:rsidRDefault="00EB1AFC" w:rsidP="004966B9">
      <w:pPr>
        <w:pStyle w:val="Default"/>
        <w:numPr>
          <w:ilvl w:val="0"/>
          <w:numId w:val="2"/>
        </w:numPr>
        <w:contextualSpacing/>
        <w:rPr>
          <w:sz w:val="22"/>
          <w:szCs w:val="22"/>
        </w:rPr>
      </w:pPr>
      <w:r w:rsidRPr="0033374B">
        <w:rPr>
          <w:sz w:val="22"/>
          <w:szCs w:val="22"/>
        </w:rPr>
        <w:t>Quote Submissions</w:t>
      </w:r>
    </w:p>
    <w:p w:rsidR="00CE6CBF" w:rsidRPr="0033374B" w:rsidRDefault="00E50026" w:rsidP="00CE6CBF">
      <w:pPr>
        <w:pStyle w:val="NoSpacing"/>
        <w:numPr>
          <w:ilvl w:val="0"/>
          <w:numId w:val="6"/>
        </w:numPr>
        <w:ind w:left="1080"/>
        <w:rPr>
          <w:rFonts w:ascii="Arial" w:hAnsi="Arial" w:cs="Arial"/>
        </w:rPr>
      </w:pPr>
      <w:r w:rsidRPr="0033374B">
        <w:rPr>
          <w:rFonts w:ascii="Arial" w:hAnsi="Arial" w:cs="Arial"/>
        </w:rPr>
        <w:t>Due date for all original</w:t>
      </w:r>
      <w:r w:rsidR="00C5201D" w:rsidRPr="0033374B">
        <w:rPr>
          <w:rFonts w:ascii="Arial" w:hAnsi="Arial" w:cs="Arial"/>
        </w:rPr>
        <w:t xml:space="preserve"> quotes and email duplicates is</w:t>
      </w:r>
      <w:r w:rsidRPr="0033374B">
        <w:rPr>
          <w:rFonts w:ascii="Arial" w:hAnsi="Arial" w:cs="Arial"/>
        </w:rPr>
        <w:t xml:space="preserve"> </w:t>
      </w:r>
      <w:r w:rsidR="00CE6CBF" w:rsidRPr="0033374B">
        <w:rPr>
          <w:rFonts w:ascii="Arial" w:hAnsi="Arial" w:cs="Arial"/>
        </w:rPr>
        <w:t>September 30, 2016 at 11:00 AM MDT</w:t>
      </w:r>
      <w:r w:rsidR="00C5201D" w:rsidRPr="0033374B">
        <w:rPr>
          <w:rFonts w:ascii="Arial" w:hAnsi="Arial" w:cs="Arial"/>
        </w:rPr>
        <w:t>.  A</w:t>
      </w:r>
      <w:r w:rsidR="00FF2CB7" w:rsidRPr="0033374B">
        <w:rPr>
          <w:rFonts w:ascii="Arial" w:hAnsi="Arial" w:cs="Arial"/>
        </w:rPr>
        <w:t>ny quote submitted after that will be considered late and will not be accepted.</w:t>
      </w:r>
      <w:r w:rsidRPr="0033374B">
        <w:rPr>
          <w:rFonts w:ascii="Arial" w:hAnsi="Arial" w:cs="Arial"/>
        </w:rPr>
        <w:t xml:space="preserve"> </w:t>
      </w:r>
      <w:r w:rsidR="00805254" w:rsidRPr="0033374B">
        <w:rPr>
          <w:rFonts w:ascii="Arial" w:hAnsi="Arial" w:cs="Arial"/>
        </w:rPr>
        <w:t>Suppliers are encouraged to submit their quotes early. For overnight delivery, it is suggested suppliers use FedEx Priority mail.</w:t>
      </w:r>
    </w:p>
    <w:p w:rsidR="00CE6CBF" w:rsidRPr="0033374B" w:rsidRDefault="00CE6CBF" w:rsidP="00CE6CBF">
      <w:pPr>
        <w:pStyle w:val="NoSpacing"/>
        <w:numPr>
          <w:ilvl w:val="0"/>
          <w:numId w:val="6"/>
        </w:numPr>
        <w:ind w:left="1080"/>
        <w:rPr>
          <w:rFonts w:ascii="Arial" w:hAnsi="Arial" w:cs="Arial"/>
        </w:rPr>
      </w:pPr>
      <w:r w:rsidRPr="0033374B">
        <w:rPr>
          <w:rFonts w:ascii="Arial" w:hAnsi="Arial" w:cs="Arial"/>
        </w:rPr>
        <w:t xml:space="preserve">RFQ Point of Contact: </w:t>
      </w:r>
    </w:p>
    <w:p w:rsidR="008A7654" w:rsidRPr="0033374B" w:rsidRDefault="008A7654" w:rsidP="00A74323">
      <w:pPr>
        <w:pStyle w:val="Default"/>
        <w:numPr>
          <w:ilvl w:val="2"/>
          <w:numId w:val="6"/>
        </w:numPr>
        <w:contextualSpacing/>
        <w:rPr>
          <w:sz w:val="22"/>
          <w:szCs w:val="22"/>
        </w:rPr>
      </w:pPr>
      <w:r w:rsidRPr="0033374B">
        <w:rPr>
          <w:sz w:val="22"/>
          <w:szCs w:val="22"/>
        </w:rPr>
        <w:t xml:space="preserve">Request for Quotation: </w:t>
      </w:r>
    </w:p>
    <w:p w:rsidR="008A7654" w:rsidRPr="0033374B" w:rsidRDefault="008A7654" w:rsidP="008A7654">
      <w:pPr>
        <w:pStyle w:val="Default"/>
        <w:numPr>
          <w:ilvl w:val="3"/>
          <w:numId w:val="6"/>
        </w:numPr>
        <w:contextualSpacing/>
        <w:rPr>
          <w:rStyle w:val="Hyperlink"/>
          <w:color w:val="000000"/>
          <w:sz w:val="22"/>
          <w:szCs w:val="22"/>
          <w:u w:val="none"/>
        </w:rPr>
      </w:pPr>
      <w:r w:rsidRPr="0033374B">
        <w:rPr>
          <w:sz w:val="22"/>
          <w:szCs w:val="22"/>
        </w:rPr>
        <w:t xml:space="preserve">General Inbox: </w:t>
      </w:r>
      <w:hyperlink r:id="rId8" w:history="1">
        <w:r w:rsidRPr="0033374B">
          <w:rPr>
            <w:rStyle w:val="Hyperlink"/>
            <w:sz w:val="22"/>
            <w:szCs w:val="22"/>
          </w:rPr>
          <w:t>dha.detrick.cod-a.mbx.dha-uf-bpa-official@mail.mil</w:t>
        </w:r>
      </w:hyperlink>
    </w:p>
    <w:p w:rsidR="008A7654" w:rsidRPr="0033374B" w:rsidRDefault="008A7654" w:rsidP="00A74323">
      <w:pPr>
        <w:pStyle w:val="Default"/>
        <w:numPr>
          <w:ilvl w:val="2"/>
          <w:numId w:val="6"/>
        </w:numPr>
        <w:contextualSpacing/>
        <w:rPr>
          <w:sz w:val="22"/>
          <w:szCs w:val="22"/>
        </w:rPr>
      </w:pPr>
      <w:r w:rsidRPr="0033374B">
        <w:rPr>
          <w:rStyle w:val="Hyperlink"/>
          <w:color w:val="000000"/>
          <w:sz w:val="22"/>
          <w:szCs w:val="22"/>
          <w:u w:val="none"/>
        </w:rPr>
        <w:t xml:space="preserve">Industry Technical Liaison: </w:t>
      </w:r>
    </w:p>
    <w:p w:rsidR="008A7654" w:rsidRPr="0033374B" w:rsidRDefault="008A7654" w:rsidP="008A7654">
      <w:pPr>
        <w:pStyle w:val="Default"/>
        <w:numPr>
          <w:ilvl w:val="3"/>
          <w:numId w:val="6"/>
        </w:numPr>
        <w:contextualSpacing/>
        <w:rPr>
          <w:rStyle w:val="Hyperlink"/>
          <w:color w:val="000000"/>
          <w:sz w:val="22"/>
          <w:szCs w:val="22"/>
          <w:u w:val="none"/>
        </w:rPr>
      </w:pPr>
      <w:r w:rsidRPr="0033374B">
        <w:rPr>
          <w:sz w:val="22"/>
          <w:szCs w:val="22"/>
        </w:rPr>
        <w:t xml:space="preserve">General Inbox: </w:t>
      </w:r>
      <w:hyperlink r:id="rId9" w:history="1">
        <w:r w:rsidRPr="0033374B">
          <w:rPr>
            <w:rStyle w:val="Hyperlink"/>
            <w:sz w:val="22"/>
            <w:szCs w:val="22"/>
          </w:rPr>
          <w:t>mailto:dha.jbsa.tricare-south.mbx.strategic-sourcing-rph@mail.mil</w:t>
        </w:r>
      </w:hyperlink>
    </w:p>
    <w:p w:rsidR="00F149B7" w:rsidRPr="0033374B" w:rsidRDefault="00F149B7" w:rsidP="00F149B7">
      <w:pPr>
        <w:pStyle w:val="Default"/>
        <w:numPr>
          <w:ilvl w:val="2"/>
          <w:numId w:val="6"/>
        </w:numPr>
        <w:contextualSpacing/>
        <w:rPr>
          <w:sz w:val="22"/>
          <w:szCs w:val="22"/>
        </w:rPr>
      </w:pPr>
      <w:r w:rsidRPr="0033374B">
        <w:rPr>
          <w:sz w:val="22"/>
          <w:szCs w:val="22"/>
        </w:rPr>
        <w:t>We have a change in personnel and will do so again</w:t>
      </w:r>
      <w:r w:rsidR="00A5489A" w:rsidRPr="0033374B">
        <w:rPr>
          <w:sz w:val="22"/>
          <w:szCs w:val="22"/>
        </w:rPr>
        <w:t>, please be sure to use the generic email addresses listed above.</w:t>
      </w:r>
    </w:p>
    <w:p w:rsidR="00E50026" w:rsidRPr="0033374B" w:rsidRDefault="00E24264" w:rsidP="00CE6CBF">
      <w:pPr>
        <w:pStyle w:val="Default"/>
        <w:numPr>
          <w:ilvl w:val="0"/>
          <w:numId w:val="6"/>
        </w:numPr>
        <w:spacing w:line="360" w:lineRule="auto"/>
        <w:ind w:firstLine="0"/>
        <w:contextualSpacing/>
        <w:rPr>
          <w:sz w:val="22"/>
          <w:szCs w:val="22"/>
        </w:rPr>
      </w:pPr>
      <w:r w:rsidRPr="0033374B">
        <w:rPr>
          <w:sz w:val="22"/>
          <w:szCs w:val="22"/>
        </w:rPr>
        <w:t>Other</w:t>
      </w:r>
    </w:p>
    <w:p w:rsidR="006A2067" w:rsidRPr="0033374B" w:rsidRDefault="00E24264" w:rsidP="006A2067">
      <w:pPr>
        <w:pStyle w:val="Default"/>
        <w:numPr>
          <w:ilvl w:val="2"/>
          <w:numId w:val="2"/>
        </w:numPr>
        <w:contextualSpacing/>
        <w:rPr>
          <w:sz w:val="22"/>
          <w:szCs w:val="22"/>
        </w:rPr>
      </w:pPr>
      <w:r w:rsidRPr="0033374B">
        <w:rPr>
          <w:sz w:val="22"/>
          <w:szCs w:val="22"/>
        </w:rPr>
        <w:t>Documents are fillable</w:t>
      </w:r>
    </w:p>
    <w:p w:rsidR="002856EE" w:rsidRPr="0033374B" w:rsidRDefault="006A2067" w:rsidP="002856EE">
      <w:pPr>
        <w:pStyle w:val="NoSpacing"/>
        <w:numPr>
          <w:ilvl w:val="2"/>
          <w:numId w:val="2"/>
        </w:numPr>
        <w:rPr>
          <w:rFonts w:ascii="Arial" w:hAnsi="Arial" w:cs="Arial"/>
        </w:rPr>
      </w:pPr>
      <w:r w:rsidRPr="0033374B">
        <w:rPr>
          <w:rFonts w:ascii="Arial" w:hAnsi="Arial" w:cs="Arial"/>
        </w:rPr>
        <w:t>A</w:t>
      </w:r>
      <w:r w:rsidR="002856EE" w:rsidRPr="0033374B">
        <w:rPr>
          <w:rFonts w:ascii="Arial" w:hAnsi="Arial" w:cs="Arial"/>
        </w:rPr>
        <w:t xml:space="preserve">n original signed BPA and </w:t>
      </w:r>
      <w:r w:rsidR="008A7654" w:rsidRPr="0033374B">
        <w:rPr>
          <w:rFonts w:ascii="Arial" w:hAnsi="Arial" w:cs="Arial"/>
        </w:rPr>
        <w:t>ADP</w:t>
      </w:r>
      <w:r w:rsidR="002856EE" w:rsidRPr="0033374B">
        <w:rPr>
          <w:rFonts w:ascii="Arial" w:hAnsi="Arial" w:cs="Arial"/>
        </w:rPr>
        <w:t xml:space="preserve"> quote submitted for each different drug.</w:t>
      </w:r>
    </w:p>
    <w:p w:rsidR="00B473B2" w:rsidRPr="0033374B" w:rsidRDefault="00B473B2" w:rsidP="002856EE">
      <w:pPr>
        <w:pStyle w:val="Default"/>
        <w:ind w:left="2160"/>
        <w:contextualSpacing/>
        <w:rPr>
          <w:sz w:val="22"/>
          <w:szCs w:val="22"/>
        </w:rPr>
      </w:pPr>
    </w:p>
    <w:p w:rsidR="00805254" w:rsidRPr="0033374B" w:rsidRDefault="00805254" w:rsidP="004966B9">
      <w:pPr>
        <w:pStyle w:val="Default"/>
        <w:ind w:left="720"/>
        <w:contextualSpacing/>
        <w:rPr>
          <w:sz w:val="22"/>
          <w:szCs w:val="22"/>
        </w:rPr>
      </w:pPr>
      <w:r w:rsidRPr="0033374B">
        <w:rPr>
          <w:sz w:val="22"/>
          <w:szCs w:val="22"/>
        </w:rPr>
        <w:t xml:space="preserve">All </w:t>
      </w:r>
      <w:r w:rsidR="00CE6CBF" w:rsidRPr="0033374B">
        <w:rPr>
          <w:sz w:val="22"/>
          <w:szCs w:val="22"/>
        </w:rPr>
        <w:t>RFQ</w:t>
      </w:r>
      <w:r w:rsidRPr="0033374B">
        <w:rPr>
          <w:sz w:val="22"/>
          <w:szCs w:val="22"/>
        </w:rPr>
        <w:t xml:space="preserve"> documents (BPA Template and Appendices) are locked to prevent unnecessary editing. However, the appropriate fields allow the supplier to fill in where they need to. Fill in the appropriate fields before printing out the documents for submission.</w:t>
      </w:r>
    </w:p>
    <w:p w:rsidR="00805254" w:rsidRPr="0033374B" w:rsidRDefault="00805254" w:rsidP="004966B9">
      <w:pPr>
        <w:pStyle w:val="Default"/>
        <w:ind w:left="720"/>
        <w:contextualSpacing/>
        <w:rPr>
          <w:sz w:val="22"/>
          <w:szCs w:val="22"/>
        </w:rPr>
      </w:pPr>
    </w:p>
    <w:p w:rsidR="00805254" w:rsidRPr="0033374B" w:rsidRDefault="00805254" w:rsidP="004966B9">
      <w:pPr>
        <w:pStyle w:val="Default"/>
        <w:ind w:left="720"/>
        <w:contextualSpacing/>
        <w:rPr>
          <w:sz w:val="22"/>
          <w:szCs w:val="22"/>
        </w:rPr>
      </w:pPr>
      <w:r w:rsidRPr="0033374B">
        <w:rPr>
          <w:sz w:val="22"/>
          <w:szCs w:val="22"/>
        </w:rPr>
        <w:t xml:space="preserve">For Example: The fillable fields allow you to type in your company information while keeping the integrity of the document intact. </w:t>
      </w:r>
    </w:p>
    <w:p w:rsidR="00805254" w:rsidRPr="0033374B" w:rsidRDefault="00805254" w:rsidP="00805254">
      <w:pPr>
        <w:pStyle w:val="Default"/>
        <w:spacing w:line="360" w:lineRule="auto"/>
        <w:ind w:left="720"/>
        <w:contextualSpacing/>
        <w:rPr>
          <w:sz w:val="22"/>
          <w:szCs w:val="22"/>
        </w:rPr>
      </w:pPr>
    </w:p>
    <w:p w:rsidR="00805254" w:rsidRPr="0033374B" w:rsidRDefault="00805254" w:rsidP="004966B9">
      <w:pPr>
        <w:pStyle w:val="Default"/>
        <w:ind w:left="720"/>
        <w:contextualSpacing/>
        <w:rPr>
          <w:sz w:val="22"/>
          <w:szCs w:val="22"/>
        </w:rPr>
      </w:pPr>
    </w:p>
    <w:p w:rsidR="00805254" w:rsidRPr="0033374B" w:rsidRDefault="00E24264" w:rsidP="00691863">
      <w:pPr>
        <w:pStyle w:val="Default"/>
        <w:numPr>
          <w:ilvl w:val="2"/>
          <w:numId w:val="2"/>
        </w:numPr>
        <w:contextualSpacing/>
        <w:rPr>
          <w:sz w:val="22"/>
          <w:szCs w:val="22"/>
        </w:rPr>
      </w:pPr>
      <w:r w:rsidRPr="0033374B">
        <w:rPr>
          <w:sz w:val="22"/>
          <w:szCs w:val="22"/>
        </w:rPr>
        <w:t>Do not print duplex</w:t>
      </w:r>
      <w:r w:rsidR="004941F8" w:rsidRPr="0033374B">
        <w:rPr>
          <w:sz w:val="22"/>
          <w:szCs w:val="22"/>
        </w:rPr>
        <w:t xml:space="preserve"> for original quotes</w:t>
      </w:r>
      <w:r w:rsidR="00933D6A">
        <w:rPr>
          <w:sz w:val="22"/>
          <w:szCs w:val="22"/>
        </w:rPr>
        <w:t>.</w:t>
      </w:r>
      <w:r w:rsidR="00691863" w:rsidRPr="0033374B">
        <w:rPr>
          <w:sz w:val="22"/>
          <w:szCs w:val="22"/>
        </w:rPr>
        <w:t xml:space="preserve"> </w:t>
      </w:r>
      <w:r w:rsidR="00805254" w:rsidRPr="0033374B">
        <w:rPr>
          <w:sz w:val="22"/>
          <w:szCs w:val="22"/>
        </w:rPr>
        <w:t>Submit all hard copies as single-sided pages. Avoid double-sided quotes.</w:t>
      </w:r>
    </w:p>
    <w:p w:rsidR="004941F8" w:rsidRPr="0033374B" w:rsidRDefault="00FA568A" w:rsidP="004966B9">
      <w:pPr>
        <w:pStyle w:val="Default"/>
        <w:numPr>
          <w:ilvl w:val="0"/>
          <w:numId w:val="2"/>
        </w:numPr>
        <w:contextualSpacing/>
        <w:rPr>
          <w:sz w:val="22"/>
          <w:szCs w:val="22"/>
        </w:rPr>
      </w:pPr>
      <w:r w:rsidRPr="0033374B">
        <w:rPr>
          <w:sz w:val="22"/>
          <w:szCs w:val="22"/>
        </w:rPr>
        <w:t>Lesson</w:t>
      </w:r>
      <w:r w:rsidR="00AF03D8" w:rsidRPr="0033374B">
        <w:rPr>
          <w:sz w:val="22"/>
          <w:szCs w:val="22"/>
        </w:rPr>
        <w:t>s</w:t>
      </w:r>
      <w:r w:rsidR="004941F8" w:rsidRPr="0033374B">
        <w:rPr>
          <w:sz w:val="22"/>
          <w:szCs w:val="22"/>
        </w:rPr>
        <w:t xml:space="preserve"> Learned: Responsiveness</w:t>
      </w:r>
    </w:p>
    <w:p w:rsidR="00655A40" w:rsidRPr="0033374B" w:rsidRDefault="0033374B" w:rsidP="004966B9">
      <w:pPr>
        <w:spacing w:line="240" w:lineRule="auto"/>
        <w:ind w:left="720"/>
        <w:rPr>
          <w:rFonts w:ascii="Arial" w:hAnsi="Arial" w:cs="Arial"/>
        </w:rPr>
      </w:pPr>
      <w:r w:rsidRPr="0033374B">
        <w:rPr>
          <w:rFonts w:ascii="Arial" w:hAnsi="Arial" w:cs="Arial"/>
        </w:rPr>
        <w:br/>
      </w:r>
      <w:r w:rsidR="00655A40" w:rsidRPr="0033374B">
        <w:rPr>
          <w:rFonts w:ascii="Arial" w:hAnsi="Arial" w:cs="Arial"/>
        </w:rPr>
        <w:t>It is important that suppliers respect the process that is in place by carefully reading the BPA, VARR and all instructions that accommodate it to ensure the quoting procedure is properly followed.</w:t>
      </w:r>
    </w:p>
    <w:p w:rsidR="00655A40" w:rsidRPr="0033374B" w:rsidRDefault="00655A40" w:rsidP="004966B9">
      <w:pPr>
        <w:spacing w:line="240" w:lineRule="auto"/>
        <w:rPr>
          <w:rFonts w:ascii="Arial" w:hAnsi="Arial" w:cs="Arial"/>
        </w:rPr>
      </w:pPr>
      <w:r w:rsidRPr="0033374B">
        <w:rPr>
          <w:rFonts w:ascii="Arial" w:hAnsi="Arial" w:cs="Arial"/>
        </w:rPr>
        <w:t>Past Reasons for non-responsive:</w:t>
      </w:r>
    </w:p>
    <w:tbl>
      <w:tblPr>
        <w:tblStyle w:val="TableGrid"/>
        <w:tblW w:w="0" w:type="auto"/>
        <w:tblLook w:val="04A0" w:firstRow="1" w:lastRow="0" w:firstColumn="1" w:lastColumn="0" w:noHBand="0" w:noVBand="1"/>
        <w:tblCaption w:val="Past Reasons for Non-responsive"/>
        <w:tblDescription w:val="This table explains past reasons why drugs were non responsive."/>
      </w:tblPr>
      <w:tblGrid>
        <w:gridCol w:w="4788"/>
        <w:gridCol w:w="4788"/>
      </w:tblGrid>
      <w:tr w:rsidR="00655A40" w:rsidRPr="0033374B" w:rsidTr="00805429">
        <w:trPr>
          <w:tblHeader/>
        </w:trPr>
        <w:tc>
          <w:tcPr>
            <w:tcW w:w="4788" w:type="dxa"/>
            <w:tcBorders>
              <w:top w:val="nil"/>
              <w:left w:val="nil"/>
              <w:bottom w:val="single" w:sz="4" w:space="0" w:color="auto"/>
              <w:right w:val="nil"/>
            </w:tcBorders>
          </w:tcPr>
          <w:p w:rsidR="00655A40" w:rsidRPr="0033374B" w:rsidRDefault="00655A40" w:rsidP="00D45D78">
            <w:pPr>
              <w:pStyle w:val="ListParagraph"/>
              <w:ind w:left="1080"/>
              <w:jc w:val="both"/>
              <w:rPr>
                <w:rFonts w:ascii="Arial" w:hAnsi="Arial" w:cs="Arial"/>
                <w:b/>
              </w:rPr>
            </w:pPr>
            <w:r w:rsidRPr="0033374B">
              <w:rPr>
                <w:rFonts w:ascii="Arial" w:hAnsi="Arial" w:cs="Arial"/>
                <w:b/>
              </w:rPr>
              <w:t>Non-Responsive Reason</w:t>
            </w:r>
          </w:p>
        </w:tc>
        <w:tc>
          <w:tcPr>
            <w:tcW w:w="4788" w:type="dxa"/>
            <w:tcBorders>
              <w:top w:val="nil"/>
              <w:left w:val="nil"/>
              <w:bottom w:val="single" w:sz="4" w:space="0" w:color="auto"/>
              <w:right w:val="nil"/>
            </w:tcBorders>
          </w:tcPr>
          <w:p w:rsidR="00655A40" w:rsidRPr="0033374B" w:rsidRDefault="00655A40" w:rsidP="00D45D78">
            <w:pPr>
              <w:jc w:val="center"/>
              <w:rPr>
                <w:rFonts w:ascii="Arial" w:hAnsi="Arial" w:cs="Arial"/>
                <w:b/>
              </w:rPr>
            </w:pPr>
            <w:r w:rsidRPr="0033374B">
              <w:rPr>
                <w:rFonts w:ascii="Arial" w:hAnsi="Arial" w:cs="Arial"/>
                <w:b/>
              </w:rPr>
              <w:t>Citation</w:t>
            </w:r>
          </w:p>
        </w:tc>
      </w:tr>
      <w:tr w:rsidR="00655A40" w:rsidRPr="0033374B" w:rsidTr="00D45D78">
        <w:tc>
          <w:tcPr>
            <w:tcW w:w="4788" w:type="dxa"/>
            <w:tcBorders>
              <w:top w:val="single" w:sz="4" w:space="0" w:color="auto"/>
            </w:tcBorders>
          </w:tcPr>
          <w:p w:rsidR="00655A40" w:rsidRPr="0033374B" w:rsidRDefault="00655A40" w:rsidP="00D45D78">
            <w:pPr>
              <w:rPr>
                <w:rFonts w:ascii="Arial" w:hAnsi="Arial" w:cs="Arial"/>
              </w:rPr>
            </w:pPr>
            <w:r w:rsidRPr="0033374B">
              <w:rPr>
                <w:rFonts w:ascii="Arial" w:hAnsi="Arial" w:cs="Arial"/>
              </w:rPr>
              <w:t xml:space="preserve">Company does not hold an FSS contract, or the FSS contract has expired </w:t>
            </w:r>
            <w:bookmarkStart w:id="0" w:name="_GoBack"/>
            <w:bookmarkEnd w:id="0"/>
          </w:p>
        </w:tc>
        <w:tc>
          <w:tcPr>
            <w:tcW w:w="4788" w:type="dxa"/>
            <w:tcBorders>
              <w:top w:val="single" w:sz="4" w:space="0" w:color="auto"/>
            </w:tcBorders>
          </w:tcPr>
          <w:p w:rsidR="00655A40" w:rsidRPr="0033374B" w:rsidRDefault="00655A40" w:rsidP="00D45D78">
            <w:pPr>
              <w:rPr>
                <w:rFonts w:ascii="Arial" w:hAnsi="Arial" w:cs="Arial"/>
              </w:rPr>
            </w:pPr>
            <w:r w:rsidRPr="0033374B">
              <w:rPr>
                <w:rFonts w:ascii="Arial" w:hAnsi="Arial" w:cs="Arial"/>
              </w:rPr>
              <w:t>UF BPA Paragraph 10 “The company must have an existing FSS Contract for any pharmaceutical agent(s) quoted in this UFBPA at the time the quote is submitted, and at the time the UFBPA is executed”</w:t>
            </w:r>
          </w:p>
        </w:tc>
      </w:tr>
      <w:tr w:rsidR="00655A40" w:rsidRPr="0033374B" w:rsidTr="00D45D78">
        <w:tc>
          <w:tcPr>
            <w:tcW w:w="4788" w:type="dxa"/>
          </w:tcPr>
          <w:p w:rsidR="00655A40" w:rsidRPr="0033374B" w:rsidRDefault="00655A40" w:rsidP="00D45D78">
            <w:pPr>
              <w:rPr>
                <w:rFonts w:ascii="Arial" w:hAnsi="Arial" w:cs="Arial"/>
              </w:rPr>
            </w:pPr>
            <w:r w:rsidRPr="0033374B">
              <w:rPr>
                <w:rFonts w:ascii="Arial" w:hAnsi="Arial" w:cs="Arial"/>
              </w:rPr>
              <w:t xml:space="preserve">Signed BPA terms and conditions is not submitted on time </w:t>
            </w:r>
          </w:p>
        </w:tc>
        <w:tc>
          <w:tcPr>
            <w:tcW w:w="4788" w:type="dxa"/>
          </w:tcPr>
          <w:p w:rsidR="00655A40" w:rsidRPr="0033374B" w:rsidRDefault="00343726" w:rsidP="00D45D78">
            <w:pPr>
              <w:rPr>
                <w:rFonts w:ascii="Arial" w:hAnsi="Arial" w:cs="Arial"/>
              </w:rPr>
            </w:pPr>
            <w:r w:rsidRPr="0033374B">
              <w:rPr>
                <w:rFonts w:ascii="Arial" w:hAnsi="Arial" w:cs="Arial"/>
              </w:rPr>
              <w:t>http://www.health.mil/About-MHS/Other-MHS-Organizations/DoD-Pharmacy-and-Therapeutics-Committee/Drug-Classes-New-Drugs-Under-Review/February-2016</w:t>
            </w:r>
          </w:p>
        </w:tc>
      </w:tr>
      <w:tr w:rsidR="00655A40" w:rsidRPr="0033374B" w:rsidTr="00D45D78">
        <w:tc>
          <w:tcPr>
            <w:tcW w:w="4788" w:type="dxa"/>
          </w:tcPr>
          <w:p w:rsidR="00655A40" w:rsidRPr="0033374B" w:rsidRDefault="00655A40" w:rsidP="00D45D78">
            <w:pPr>
              <w:rPr>
                <w:rFonts w:ascii="Arial" w:hAnsi="Arial" w:cs="Arial"/>
              </w:rPr>
            </w:pPr>
            <w:r w:rsidRPr="0033374B">
              <w:rPr>
                <w:rFonts w:ascii="Arial" w:hAnsi="Arial" w:cs="Arial"/>
              </w:rPr>
              <w:t>Price per dosage unit will be the same for all package sizes</w:t>
            </w:r>
          </w:p>
        </w:tc>
        <w:tc>
          <w:tcPr>
            <w:tcW w:w="4788" w:type="dxa"/>
          </w:tcPr>
          <w:p w:rsidR="00655A40" w:rsidRPr="0033374B" w:rsidRDefault="00655A40" w:rsidP="00D45D78">
            <w:pPr>
              <w:rPr>
                <w:rFonts w:ascii="Arial" w:hAnsi="Arial" w:cs="Arial"/>
              </w:rPr>
            </w:pPr>
            <w:r w:rsidRPr="0033374B">
              <w:rPr>
                <w:rFonts w:ascii="Arial" w:hAnsi="Arial" w:cs="Arial"/>
              </w:rPr>
              <w:t>BPA Paragraph 8.b</w:t>
            </w:r>
          </w:p>
        </w:tc>
      </w:tr>
    </w:tbl>
    <w:p w:rsidR="00655A40" w:rsidRPr="0033374B" w:rsidRDefault="00655A40" w:rsidP="004966B9">
      <w:pPr>
        <w:spacing w:line="240" w:lineRule="auto"/>
        <w:rPr>
          <w:rFonts w:ascii="Arial" w:hAnsi="Arial" w:cs="Arial"/>
        </w:rPr>
      </w:pPr>
    </w:p>
    <w:p w:rsidR="00655A40" w:rsidRPr="0033374B" w:rsidRDefault="00655A40" w:rsidP="004966B9">
      <w:pPr>
        <w:spacing w:line="240" w:lineRule="auto"/>
        <w:rPr>
          <w:rFonts w:ascii="Arial" w:hAnsi="Arial" w:cs="Arial"/>
        </w:rPr>
      </w:pPr>
      <w:r w:rsidRPr="0033374B">
        <w:rPr>
          <w:rFonts w:ascii="Arial" w:hAnsi="Arial" w:cs="Arial"/>
        </w:rPr>
        <w:t>Company name on the BPA will be the company that receives the BPA, and must match the FSS. No subsidiaries, affiliates, or DBA’s are allowed.</w:t>
      </w:r>
    </w:p>
    <w:p w:rsidR="0033374B" w:rsidRPr="0033374B" w:rsidRDefault="005D4D3E" w:rsidP="0033374B">
      <w:pPr>
        <w:pStyle w:val="Default"/>
        <w:numPr>
          <w:ilvl w:val="0"/>
          <w:numId w:val="2"/>
        </w:numPr>
        <w:contextualSpacing/>
        <w:rPr>
          <w:sz w:val="22"/>
          <w:szCs w:val="22"/>
        </w:rPr>
      </w:pPr>
      <w:r w:rsidRPr="0033374B">
        <w:rPr>
          <w:sz w:val="22"/>
          <w:szCs w:val="22"/>
        </w:rPr>
        <w:t>IMPORTANT</w:t>
      </w:r>
      <w:r w:rsidR="00F149B7" w:rsidRPr="0033374B">
        <w:rPr>
          <w:sz w:val="22"/>
          <w:szCs w:val="22"/>
        </w:rPr>
        <w:t xml:space="preserve"> Info</w:t>
      </w:r>
      <w:r w:rsidR="000304D7" w:rsidRPr="0033374B">
        <w:rPr>
          <w:sz w:val="22"/>
          <w:szCs w:val="22"/>
        </w:rPr>
        <w:t xml:space="preserve"> </w:t>
      </w:r>
    </w:p>
    <w:p w:rsidR="0033374B" w:rsidRPr="0033374B" w:rsidRDefault="00A5489A" w:rsidP="0033374B">
      <w:pPr>
        <w:pStyle w:val="Default"/>
        <w:numPr>
          <w:ilvl w:val="1"/>
          <w:numId w:val="2"/>
        </w:numPr>
        <w:ind w:hanging="720"/>
        <w:contextualSpacing/>
        <w:rPr>
          <w:sz w:val="22"/>
          <w:szCs w:val="22"/>
        </w:rPr>
      </w:pPr>
      <w:r w:rsidRPr="0033374B">
        <w:rPr>
          <w:sz w:val="22"/>
          <w:szCs w:val="22"/>
        </w:rPr>
        <w:t>DHA Contracting welcomes all feedback</w:t>
      </w:r>
      <w:r w:rsidR="00F149B7" w:rsidRPr="0033374B">
        <w:rPr>
          <w:sz w:val="22"/>
          <w:szCs w:val="22"/>
        </w:rPr>
        <w:t xml:space="preserve"> regarding our reformatted web page and RFQ.</w:t>
      </w:r>
      <w:r w:rsidRPr="0033374B">
        <w:rPr>
          <w:sz w:val="22"/>
          <w:szCs w:val="22"/>
        </w:rPr>
        <w:t xml:space="preserve"> Please contact the RFQ POC if there is any feedback from industry</w:t>
      </w:r>
    </w:p>
    <w:p w:rsidR="000304D7" w:rsidRPr="0033374B" w:rsidRDefault="00A5489A" w:rsidP="0033374B">
      <w:pPr>
        <w:pStyle w:val="Default"/>
        <w:numPr>
          <w:ilvl w:val="1"/>
          <w:numId w:val="2"/>
        </w:numPr>
        <w:ind w:hanging="720"/>
        <w:contextualSpacing/>
        <w:rPr>
          <w:sz w:val="22"/>
          <w:szCs w:val="22"/>
        </w:rPr>
      </w:pPr>
      <w:r w:rsidRPr="0033374B">
        <w:rPr>
          <w:sz w:val="22"/>
          <w:szCs w:val="22"/>
        </w:rPr>
        <w:t>T</w:t>
      </w:r>
      <w:r w:rsidR="000304D7" w:rsidRPr="0033374B">
        <w:rPr>
          <w:sz w:val="22"/>
          <w:szCs w:val="22"/>
        </w:rPr>
        <w:t>h</w:t>
      </w:r>
      <w:r w:rsidRPr="0033374B">
        <w:rPr>
          <w:sz w:val="22"/>
          <w:szCs w:val="22"/>
        </w:rPr>
        <w:t xml:space="preserve">ose with existing BPAs for the agents being reviewed </w:t>
      </w:r>
      <w:r w:rsidRPr="0033374B">
        <w:rPr>
          <w:caps/>
          <w:sz w:val="22"/>
          <w:szCs w:val="22"/>
        </w:rPr>
        <w:t>must</w:t>
      </w:r>
      <w:r w:rsidRPr="0033374B">
        <w:rPr>
          <w:sz w:val="22"/>
          <w:szCs w:val="22"/>
        </w:rPr>
        <w:t xml:space="preserve"> submit</w:t>
      </w:r>
      <w:r w:rsidR="000304D7" w:rsidRPr="0033374B">
        <w:rPr>
          <w:sz w:val="22"/>
          <w:szCs w:val="22"/>
        </w:rPr>
        <w:t xml:space="preserve"> new quotes since all BPAs in that class will end upon approval of that class review.</w:t>
      </w:r>
    </w:p>
    <w:p w:rsidR="00655A40" w:rsidRPr="0033374B" w:rsidRDefault="00655A40" w:rsidP="004966B9">
      <w:pPr>
        <w:spacing w:line="240" w:lineRule="auto"/>
        <w:rPr>
          <w:rFonts w:ascii="Arial" w:hAnsi="Arial" w:cs="Arial"/>
          <w:b/>
          <w:u w:val="single"/>
        </w:rPr>
      </w:pPr>
      <w:r w:rsidRPr="0033374B">
        <w:rPr>
          <w:rFonts w:ascii="Arial" w:hAnsi="Arial" w:cs="Arial"/>
        </w:rPr>
        <w:br/>
      </w:r>
      <w:r w:rsidRPr="0033374B">
        <w:rPr>
          <w:rFonts w:ascii="Arial" w:hAnsi="Arial" w:cs="Arial"/>
          <w:b/>
          <w:u w:val="single"/>
        </w:rPr>
        <w:t xml:space="preserve">Questions </w:t>
      </w:r>
      <w:proofErr w:type="gramStart"/>
      <w:r w:rsidRPr="0033374B">
        <w:rPr>
          <w:rFonts w:ascii="Arial" w:hAnsi="Arial" w:cs="Arial"/>
          <w:b/>
          <w:u w:val="single"/>
        </w:rPr>
        <w:t>During</w:t>
      </w:r>
      <w:proofErr w:type="gramEnd"/>
      <w:r w:rsidRPr="0033374B">
        <w:rPr>
          <w:rFonts w:ascii="Arial" w:hAnsi="Arial" w:cs="Arial"/>
          <w:b/>
          <w:u w:val="single"/>
        </w:rPr>
        <w:t xml:space="preserve"> Teleconference:</w:t>
      </w:r>
    </w:p>
    <w:p w:rsidR="0078050E" w:rsidRDefault="0078050E" w:rsidP="0078050E">
      <w:pPr>
        <w:pStyle w:val="PlainText"/>
        <w:rPr>
          <w:szCs w:val="22"/>
        </w:rPr>
      </w:pPr>
      <w:r w:rsidRPr="0033374B">
        <w:rPr>
          <w:rFonts w:ascii="Arial" w:hAnsi="Arial" w:cs="Arial"/>
          <w:szCs w:val="22"/>
        </w:rPr>
        <w:t xml:space="preserve">Q: </w:t>
      </w:r>
      <w:r w:rsidRPr="0033374B">
        <w:rPr>
          <w:szCs w:val="22"/>
        </w:rPr>
        <w:t xml:space="preserve">In the RFQ, does the term “STEP” refer to the other competitor in the PCSK9 class.  The PA’s for both products currently have steps built in for Statins and </w:t>
      </w:r>
      <w:proofErr w:type="spellStart"/>
      <w:r w:rsidRPr="0033374B">
        <w:rPr>
          <w:szCs w:val="22"/>
        </w:rPr>
        <w:t>Zetia</w:t>
      </w:r>
      <w:proofErr w:type="spellEnd"/>
      <w:r w:rsidRPr="0033374B">
        <w:rPr>
          <w:szCs w:val="22"/>
        </w:rPr>
        <w:t>.</w:t>
      </w:r>
    </w:p>
    <w:p w:rsidR="003A32E3" w:rsidRPr="00470125" w:rsidRDefault="00C41F53" w:rsidP="00A74323">
      <w:pPr>
        <w:pStyle w:val="PlainText"/>
        <w:rPr>
          <w:rFonts w:ascii="Arial" w:hAnsi="Arial" w:cs="Arial"/>
        </w:rPr>
      </w:pPr>
      <w:r>
        <w:rPr>
          <w:szCs w:val="22"/>
        </w:rPr>
        <w:t xml:space="preserve">A: </w:t>
      </w:r>
      <w:r>
        <w:t xml:space="preserve">Yes, the term “STEP” refers to the other competitor in the PCSK9 class.  The current steps built in for statins and </w:t>
      </w:r>
      <w:proofErr w:type="spellStart"/>
      <w:r>
        <w:t>Zetia</w:t>
      </w:r>
      <w:proofErr w:type="spellEnd"/>
      <w:r>
        <w:t xml:space="preserve"> will remain in place unless the Committee recommends otherwise.</w:t>
      </w:r>
    </w:p>
    <w:sectPr w:rsidR="003A32E3" w:rsidRPr="00470125" w:rsidSect="0012044E">
      <w:headerReference w:type="even" r:id="rId10"/>
      <w:headerReference w:type="default" r:id="rId11"/>
      <w:footerReference w:type="even" r:id="rId12"/>
      <w:footerReference w:type="default" r:id="rId13"/>
      <w:headerReference w:type="first" r:id="rId14"/>
      <w:footerReference w:type="first" r:id="rId15"/>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6457D" w:rsidRDefault="0086457D" w:rsidP="00CE6CBF">
      <w:pPr>
        <w:spacing w:after="0" w:line="240" w:lineRule="auto"/>
      </w:pPr>
      <w:r>
        <w:separator/>
      </w:r>
    </w:p>
  </w:endnote>
  <w:endnote w:type="continuationSeparator" w:id="0">
    <w:p w:rsidR="0086457D" w:rsidRDefault="0086457D" w:rsidP="00CE6C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6B6D" w:rsidRDefault="00956B6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6B6D" w:rsidRDefault="00956B6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6B6D" w:rsidRDefault="00956B6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6457D" w:rsidRDefault="0086457D" w:rsidP="00CE6CBF">
      <w:pPr>
        <w:spacing w:after="0" w:line="240" w:lineRule="auto"/>
      </w:pPr>
      <w:r>
        <w:separator/>
      </w:r>
    </w:p>
  </w:footnote>
  <w:footnote w:type="continuationSeparator" w:id="0">
    <w:p w:rsidR="0086457D" w:rsidRDefault="0086457D" w:rsidP="00CE6CB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6B6D" w:rsidRDefault="00956B6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6CBF" w:rsidRDefault="00956B6D" w:rsidP="00CE6CBF">
    <w:pPr>
      <w:pStyle w:val="Header"/>
      <w:jc w:val="right"/>
    </w:pPr>
    <w:r>
      <w:t>RFQ #</w:t>
    </w:r>
    <w:r w:rsidR="00CE6CBF">
      <w:t xml:space="preserve"> HT9402-16-Q-0017</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6B6D" w:rsidRDefault="00956B6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4A379E"/>
    <w:multiLevelType w:val="hybridMultilevel"/>
    <w:tmpl w:val="C0C609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E6C4A31"/>
    <w:multiLevelType w:val="hybridMultilevel"/>
    <w:tmpl w:val="E292A4E0"/>
    <w:lvl w:ilvl="0" w:tplc="D392FF2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3A586F1A"/>
    <w:multiLevelType w:val="hybridMultilevel"/>
    <w:tmpl w:val="E1507748"/>
    <w:lvl w:ilvl="0" w:tplc="5BBA817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nsid w:val="438755AE"/>
    <w:multiLevelType w:val="hybridMultilevel"/>
    <w:tmpl w:val="A320AF4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55C6C98"/>
    <w:multiLevelType w:val="hybridMultilevel"/>
    <w:tmpl w:val="B3402CC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2B624FC"/>
    <w:multiLevelType w:val="hybridMultilevel"/>
    <w:tmpl w:val="5C0EDDB8"/>
    <w:lvl w:ilvl="0" w:tplc="8B048E84">
      <w:start w:val="1"/>
      <w:numFmt w:val="decimal"/>
      <w:lvlText w:val="%1."/>
      <w:lvlJc w:val="left"/>
      <w:pPr>
        <w:ind w:left="720" w:hanging="360"/>
      </w:pPr>
      <w:rPr>
        <w:rFonts w:hint="default"/>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5"/>
  </w:num>
  <w:num w:numId="3">
    <w:abstractNumId w:val="1"/>
  </w:num>
  <w:num w:numId="4">
    <w:abstractNumId w:val="2"/>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044E"/>
    <w:rsid w:val="000027B8"/>
    <w:rsid w:val="00010B57"/>
    <w:rsid w:val="0001587C"/>
    <w:rsid w:val="000304D7"/>
    <w:rsid w:val="000430C4"/>
    <w:rsid w:val="000B3AA5"/>
    <w:rsid w:val="0012044E"/>
    <w:rsid w:val="00124A64"/>
    <w:rsid w:val="001C1AAD"/>
    <w:rsid w:val="001D523A"/>
    <w:rsid w:val="002856EE"/>
    <w:rsid w:val="002B0667"/>
    <w:rsid w:val="002C28B5"/>
    <w:rsid w:val="002D3204"/>
    <w:rsid w:val="002F10D8"/>
    <w:rsid w:val="00311CD8"/>
    <w:rsid w:val="003131CD"/>
    <w:rsid w:val="00330626"/>
    <w:rsid w:val="003336DF"/>
    <w:rsid w:val="0033374B"/>
    <w:rsid w:val="00343726"/>
    <w:rsid w:val="00395FC2"/>
    <w:rsid w:val="003A32E3"/>
    <w:rsid w:val="003B5F50"/>
    <w:rsid w:val="003B5FDE"/>
    <w:rsid w:val="004212AC"/>
    <w:rsid w:val="00470125"/>
    <w:rsid w:val="004752EF"/>
    <w:rsid w:val="004941F8"/>
    <w:rsid w:val="004966B9"/>
    <w:rsid w:val="004A3FE0"/>
    <w:rsid w:val="00527B97"/>
    <w:rsid w:val="00527F38"/>
    <w:rsid w:val="0055038E"/>
    <w:rsid w:val="0059008F"/>
    <w:rsid w:val="005A40BF"/>
    <w:rsid w:val="005C6722"/>
    <w:rsid w:val="005D4D3E"/>
    <w:rsid w:val="006119D9"/>
    <w:rsid w:val="00637BED"/>
    <w:rsid w:val="00655A40"/>
    <w:rsid w:val="006564C3"/>
    <w:rsid w:val="006870D7"/>
    <w:rsid w:val="00691863"/>
    <w:rsid w:val="006A2067"/>
    <w:rsid w:val="00710A71"/>
    <w:rsid w:val="007271A7"/>
    <w:rsid w:val="00730672"/>
    <w:rsid w:val="00751F8E"/>
    <w:rsid w:val="00777006"/>
    <w:rsid w:val="0078050E"/>
    <w:rsid w:val="007941C3"/>
    <w:rsid w:val="007E4358"/>
    <w:rsid w:val="0080062D"/>
    <w:rsid w:val="00805254"/>
    <w:rsid w:val="00805429"/>
    <w:rsid w:val="00831864"/>
    <w:rsid w:val="00847C1A"/>
    <w:rsid w:val="0086457D"/>
    <w:rsid w:val="008A7654"/>
    <w:rsid w:val="008D14B9"/>
    <w:rsid w:val="00920630"/>
    <w:rsid w:val="00933D6A"/>
    <w:rsid w:val="00937FDB"/>
    <w:rsid w:val="00946054"/>
    <w:rsid w:val="00956B6D"/>
    <w:rsid w:val="00997482"/>
    <w:rsid w:val="009B547B"/>
    <w:rsid w:val="009D6BB9"/>
    <w:rsid w:val="00A5489A"/>
    <w:rsid w:val="00A74323"/>
    <w:rsid w:val="00A747C8"/>
    <w:rsid w:val="00AF03D8"/>
    <w:rsid w:val="00B01AB6"/>
    <w:rsid w:val="00B473B2"/>
    <w:rsid w:val="00BA62D8"/>
    <w:rsid w:val="00C17455"/>
    <w:rsid w:val="00C41F53"/>
    <w:rsid w:val="00C4286D"/>
    <w:rsid w:val="00C5201D"/>
    <w:rsid w:val="00C8208A"/>
    <w:rsid w:val="00CE6CBF"/>
    <w:rsid w:val="00CF4E53"/>
    <w:rsid w:val="00D711F6"/>
    <w:rsid w:val="00DD684C"/>
    <w:rsid w:val="00E24264"/>
    <w:rsid w:val="00E3045E"/>
    <w:rsid w:val="00E50026"/>
    <w:rsid w:val="00EB1AFC"/>
    <w:rsid w:val="00F149B7"/>
    <w:rsid w:val="00F2685D"/>
    <w:rsid w:val="00F31140"/>
    <w:rsid w:val="00F77098"/>
    <w:rsid w:val="00FA568A"/>
    <w:rsid w:val="00FF2C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2044E"/>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DefaultParagraphFont"/>
    <w:uiPriority w:val="99"/>
    <w:unhideWhenUsed/>
    <w:rsid w:val="00D711F6"/>
    <w:rPr>
      <w:color w:val="0000FF" w:themeColor="hyperlink"/>
      <w:u w:val="single"/>
    </w:rPr>
  </w:style>
  <w:style w:type="character" w:styleId="FollowedHyperlink">
    <w:name w:val="FollowedHyperlink"/>
    <w:basedOn w:val="DefaultParagraphFont"/>
    <w:uiPriority w:val="99"/>
    <w:semiHidden/>
    <w:unhideWhenUsed/>
    <w:rsid w:val="004752EF"/>
    <w:rPr>
      <w:color w:val="800080" w:themeColor="followedHyperlink"/>
      <w:u w:val="single"/>
    </w:rPr>
  </w:style>
  <w:style w:type="character" w:styleId="CommentReference">
    <w:name w:val="annotation reference"/>
    <w:basedOn w:val="DefaultParagraphFont"/>
    <w:uiPriority w:val="99"/>
    <w:semiHidden/>
    <w:unhideWhenUsed/>
    <w:rsid w:val="00710A71"/>
    <w:rPr>
      <w:sz w:val="16"/>
      <w:szCs w:val="16"/>
    </w:rPr>
  </w:style>
  <w:style w:type="paragraph" w:styleId="CommentText">
    <w:name w:val="annotation text"/>
    <w:basedOn w:val="Normal"/>
    <w:link w:val="CommentTextChar"/>
    <w:uiPriority w:val="99"/>
    <w:semiHidden/>
    <w:unhideWhenUsed/>
    <w:rsid w:val="00710A71"/>
    <w:pPr>
      <w:spacing w:line="240" w:lineRule="auto"/>
    </w:pPr>
    <w:rPr>
      <w:sz w:val="20"/>
      <w:szCs w:val="20"/>
    </w:rPr>
  </w:style>
  <w:style w:type="character" w:customStyle="1" w:styleId="CommentTextChar">
    <w:name w:val="Comment Text Char"/>
    <w:basedOn w:val="DefaultParagraphFont"/>
    <w:link w:val="CommentText"/>
    <w:uiPriority w:val="99"/>
    <w:semiHidden/>
    <w:rsid w:val="00710A71"/>
    <w:rPr>
      <w:sz w:val="20"/>
      <w:szCs w:val="20"/>
    </w:rPr>
  </w:style>
  <w:style w:type="paragraph" w:styleId="CommentSubject">
    <w:name w:val="annotation subject"/>
    <w:basedOn w:val="CommentText"/>
    <w:next w:val="CommentText"/>
    <w:link w:val="CommentSubjectChar"/>
    <w:uiPriority w:val="99"/>
    <w:semiHidden/>
    <w:unhideWhenUsed/>
    <w:rsid w:val="00710A71"/>
    <w:rPr>
      <w:b/>
      <w:bCs/>
    </w:rPr>
  </w:style>
  <w:style w:type="character" w:customStyle="1" w:styleId="CommentSubjectChar">
    <w:name w:val="Comment Subject Char"/>
    <w:basedOn w:val="CommentTextChar"/>
    <w:link w:val="CommentSubject"/>
    <w:uiPriority w:val="99"/>
    <w:semiHidden/>
    <w:rsid w:val="00710A71"/>
    <w:rPr>
      <w:b/>
      <w:bCs/>
      <w:sz w:val="20"/>
      <w:szCs w:val="20"/>
    </w:rPr>
  </w:style>
  <w:style w:type="paragraph" w:styleId="BalloonText">
    <w:name w:val="Balloon Text"/>
    <w:basedOn w:val="Normal"/>
    <w:link w:val="BalloonTextChar"/>
    <w:uiPriority w:val="99"/>
    <w:semiHidden/>
    <w:unhideWhenUsed/>
    <w:rsid w:val="00710A7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10A71"/>
    <w:rPr>
      <w:rFonts w:ascii="Tahoma" w:hAnsi="Tahoma" w:cs="Tahoma"/>
      <w:sz w:val="16"/>
      <w:szCs w:val="16"/>
    </w:rPr>
  </w:style>
  <w:style w:type="paragraph" w:styleId="ListParagraph">
    <w:name w:val="List Paragraph"/>
    <w:basedOn w:val="Normal"/>
    <w:uiPriority w:val="34"/>
    <w:qFormat/>
    <w:rsid w:val="00805254"/>
    <w:pPr>
      <w:ind w:left="720"/>
      <w:contextualSpacing/>
    </w:pPr>
  </w:style>
  <w:style w:type="table" w:styleId="TableGrid">
    <w:name w:val="Table Grid"/>
    <w:basedOn w:val="TableNormal"/>
    <w:uiPriority w:val="59"/>
    <w:rsid w:val="00655A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unhideWhenUsed/>
    <w:rsid w:val="00C4286D"/>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C4286D"/>
    <w:rPr>
      <w:rFonts w:ascii="Calibri" w:hAnsi="Calibri"/>
      <w:szCs w:val="21"/>
    </w:rPr>
  </w:style>
  <w:style w:type="paragraph" w:styleId="NoSpacing">
    <w:name w:val="No Spacing"/>
    <w:uiPriority w:val="1"/>
    <w:qFormat/>
    <w:rsid w:val="0001587C"/>
    <w:pPr>
      <w:spacing w:after="0" w:line="240" w:lineRule="auto"/>
    </w:pPr>
  </w:style>
  <w:style w:type="paragraph" w:styleId="Header">
    <w:name w:val="header"/>
    <w:basedOn w:val="Normal"/>
    <w:link w:val="HeaderChar"/>
    <w:uiPriority w:val="99"/>
    <w:unhideWhenUsed/>
    <w:rsid w:val="00CE6C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CE6CBF"/>
  </w:style>
  <w:style w:type="paragraph" w:styleId="Footer">
    <w:name w:val="footer"/>
    <w:basedOn w:val="Normal"/>
    <w:link w:val="FooterChar"/>
    <w:uiPriority w:val="99"/>
    <w:unhideWhenUsed/>
    <w:rsid w:val="00CE6C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CE6CB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2044E"/>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DefaultParagraphFont"/>
    <w:uiPriority w:val="99"/>
    <w:unhideWhenUsed/>
    <w:rsid w:val="00D711F6"/>
    <w:rPr>
      <w:color w:val="0000FF" w:themeColor="hyperlink"/>
      <w:u w:val="single"/>
    </w:rPr>
  </w:style>
  <w:style w:type="character" w:styleId="FollowedHyperlink">
    <w:name w:val="FollowedHyperlink"/>
    <w:basedOn w:val="DefaultParagraphFont"/>
    <w:uiPriority w:val="99"/>
    <w:semiHidden/>
    <w:unhideWhenUsed/>
    <w:rsid w:val="004752EF"/>
    <w:rPr>
      <w:color w:val="800080" w:themeColor="followedHyperlink"/>
      <w:u w:val="single"/>
    </w:rPr>
  </w:style>
  <w:style w:type="character" w:styleId="CommentReference">
    <w:name w:val="annotation reference"/>
    <w:basedOn w:val="DefaultParagraphFont"/>
    <w:uiPriority w:val="99"/>
    <w:semiHidden/>
    <w:unhideWhenUsed/>
    <w:rsid w:val="00710A71"/>
    <w:rPr>
      <w:sz w:val="16"/>
      <w:szCs w:val="16"/>
    </w:rPr>
  </w:style>
  <w:style w:type="paragraph" w:styleId="CommentText">
    <w:name w:val="annotation text"/>
    <w:basedOn w:val="Normal"/>
    <w:link w:val="CommentTextChar"/>
    <w:uiPriority w:val="99"/>
    <w:semiHidden/>
    <w:unhideWhenUsed/>
    <w:rsid w:val="00710A71"/>
    <w:pPr>
      <w:spacing w:line="240" w:lineRule="auto"/>
    </w:pPr>
    <w:rPr>
      <w:sz w:val="20"/>
      <w:szCs w:val="20"/>
    </w:rPr>
  </w:style>
  <w:style w:type="character" w:customStyle="1" w:styleId="CommentTextChar">
    <w:name w:val="Comment Text Char"/>
    <w:basedOn w:val="DefaultParagraphFont"/>
    <w:link w:val="CommentText"/>
    <w:uiPriority w:val="99"/>
    <w:semiHidden/>
    <w:rsid w:val="00710A71"/>
    <w:rPr>
      <w:sz w:val="20"/>
      <w:szCs w:val="20"/>
    </w:rPr>
  </w:style>
  <w:style w:type="paragraph" w:styleId="CommentSubject">
    <w:name w:val="annotation subject"/>
    <w:basedOn w:val="CommentText"/>
    <w:next w:val="CommentText"/>
    <w:link w:val="CommentSubjectChar"/>
    <w:uiPriority w:val="99"/>
    <w:semiHidden/>
    <w:unhideWhenUsed/>
    <w:rsid w:val="00710A71"/>
    <w:rPr>
      <w:b/>
      <w:bCs/>
    </w:rPr>
  </w:style>
  <w:style w:type="character" w:customStyle="1" w:styleId="CommentSubjectChar">
    <w:name w:val="Comment Subject Char"/>
    <w:basedOn w:val="CommentTextChar"/>
    <w:link w:val="CommentSubject"/>
    <w:uiPriority w:val="99"/>
    <w:semiHidden/>
    <w:rsid w:val="00710A71"/>
    <w:rPr>
      <w:b/>
      <w:bCs/>
      <w:sz w:val="20"/>
      <w:szCs w:val="20"/>
    </w:rPr>
  </w:style>
  <w:style w:type="paragraph" w:styleId="BalloonText">
    <w:name w:val="Balloon Text"/>
    <w:basedOn w:val="Normal"/>
    <w:link w:val="BalloonTextChar"/>
    <w:uiPriority w:val="99"/>
    <w:semiHidden/>
    <w:unhideWhenUsed/>
    <w:rsid w:val="00710A7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10A71"/>
    <w:rPr>
      <w:rFonts w:ascii="Tahoma" w:hAnsi="Tahoma" w:cs="Tahoma"/>
      <w:sz w:val="16"/>
      <w:szCs w:val="16"/>
    </w:rPr>
  </w:style>
  <w:style w:type="paragraph" w:styleId="ListParagraph">
    <w:name w:val="List Paragraph"/>
    <w:basedOn w:val="Normal"/>
    <w:uiPriority w:val="34"/>
    <w:qFormat/>
    <w:rsid w:val="00805254"/>
    <w:pPr>
      <w:ind w:left="720"/>
      <w:contextualSpacing/>
    </w:pPr>
  </w:style>
  <w:style w:type="table" w:styleId="TableGrid">
    <w:name w:val="Table Grid"/>
    <w:basedOn w:val="TableNormal"/>
    <w:uiPriority w:val="59"/>
    <w:rsid w:val="00655A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unhideWhenUsed/>
    <w:rsid w:val="00C4286D"/>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C4286D"/>
    <w:rPr>
      <w:rFonts w:ascii="Calibri" w:hAnsi="Calibri"/>
      <w:szCs w:val="21"/>
    </w:rPr>
  </w:style>
  <w:style w:type="paragraph" w:styleId="NoSpacing">
    <w:name w:val="No Spacing"/>
    <w:uiPriority w:val="1"/>
    <w:qFormat/>
    <w:rsid w:val="0001587C"/>
    <w:pPr>
      <w:spacing w:after="0" w:line="240" w:lineRule="auto"/>
    </w:pPr>
  </w:style>
  <w:style w:type="paragraph" w:styleId="Header">
    <w:name w:val="header"/>
    <w:basedOn w:val="Normal"/>
    <w:link w:val="HeaderChar"/>
    <w:uiPriority w:val="99"/>
    <w:unhideWhenUsed/>
    <w:rsid w:val="00CE6C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CE6CBF"/>
  </w:style>
  <w:style w:type="paragraph" w:styleId="Footer">
    <w:name w:val="footer"/>
    <w:basedOn w:val="Normal"/>
    <w:link w:val="FooterChar"/>
    <w:uiPriority w:val="99"/>
    <w:unhideWhenUsed/>
    <w:rsid w:val="00CE6C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CE6C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7416375">
      <w:bodyDiv w:val="1"/>
      <w:marLeft w:val="0"/>
      <w:marRight w:val="0"/>
      <w:marTop w:val="0"/>
      <w:marBottom w:val="0"/>
      <w:divBdr>
        <w:top w:val="none" w:sz="0" w:space="0" w:color="auto"/>
        <w:left w:val="none" w:sz="0" w:space="0" w:color="auto"/>
        <w:bottom w:val="none" w:sz="0" w:space="0" w:color="auto"/>
        <w:right w:val="none" w:sz="0" w:space="0" w:color="auto"/>
      </w:divBdr>
    </w:div>
    <w:div w:id="326053420">
      <w:bodyDiv w:val="1"/>
      <w:marLeft w:val="0"/>
      <w:marRight w:val="0"/>
      <w:marTop w:val="0"/>
      <w:marBottom w:val="0"/>
      <w:divBdr>
        <w:top w:val="none" w:sz="0" w:space="0" w:color="auto"/>
        <w:left w:val="none" w:sz="0" w:space="0" w:color="auto"/>
        <w:bottom w:val="none" w:sz="0" w:space="0" w:color="auto"/>
        <w:right w:val="none" w:sz="0" w:space="0" w:color="auto"/>
      </w:divBdr>
    </w:div>
    <w:div w:id="402339561">
      <w:bodyDiv w:val="1"/>
      <w:marLeft w:val="0"/>
      <w:marRight w:val="0"/>
      <w:marTop w:val="0"/>
      <w:marBottom w:val="0"/>
      <w:divBdr>
        <w:top w:val="none" w:sz="0" w:space="0" w:color="auto"/>
        <w:left w:val="none" w:sz="0" w:space="0" w:color="auto"/>
        <w:bottom w:val="none" w:sz="0" w:space="0" w:color="auto"/>
        <w:right w:val="none" w:sz="0" w:space="0" w:color="auto"/>
      </w:divBdr>
    </w:div>
    <w:div w:id="664742732">
      <w:bodyDiv w:val="1"/>
      <w:marLeft w:val="0"/>
      <w:marRight w:val="0"/>
      <w:marTop w:val="0"/>
      <w:marBottom w:val="0"/>
      <w:divBdr>
        <w:top w:val="none" w:sz="0" w:space="0" w:color="auto"/>
        <w:left w:val="none" w:sz="0" w:space="0" w:color="auto"/>
        <w:bottom w:val="none" w:sz="0" w:space="0" w:color="auto"/>
        <w:right w:val="none" w:sz="0" w:space="0" w:color="auto"/>
      </w:divBdr>
    </w:div>
    <w:div w:id="790824683">
      <w:bodyDiv w:val="1"/>
      <w:marLeft w:val="0"/>
      <w:marRight w:val="0"/>
      <w:marTop w:val="0"/>
      <w:marBottom w:val="0"/>
      <w:divBdr>
        <w:top w:val="none" w:sz="0" w:space="0" w:color="auto"/>
        <w:left w:val="none" w:sz="0" w:space="0" w:color="auto"/>
        <w:bottom w:val="none" w:sz="0" w:space="0" w:color="auto"/>
        <w:right w:val="none" w:sz="0" w:space="0" w:color="auto"/>
      </w:divBdr>
    </w:div>
    <w:div w:id="1218515015">
      <w:bodyDiv w:val="1"/>
      <w:marLeft w:val="0"/>
      <w:marRight w:val="0"/>
      <w:marTop w:val="0"/>
      <w:marBottom w:val="0"/>
      <w:divBdr>
        <w:top w:val="none" w:sz="0" w:space="0" w:color="auto"/>
        <w:left w:val="none" w:sz="0" w:space="0" w:color="auto"/>
        <w:bottom w:val="none" w:sz="0" w:space="0" w:color="auto"/>
        <w:right w:val="none" w:sz="0" w:space="0" w:color="auto"/>
      </w:divBdr>
    </w:div>
    <w:div w:id="1238201888">
      <w:bodyDiv w:val="1"/>
      <w:marLeft w:val="0"/>
      <w:marRight w:val="0"/>
      <w:marTop w:val="0"/>
      <w:marBottom w:val="0"/>
      <w:divBdr>
        <w:top w:val="none" w:sz="0" w:space="0" w:color="auto"/>
        <w:left w:val="none" w:sz="0" w:space="0" w:color="auto"/>
        <w:bottom w:val="none" w:sz="0" w:space="0" w:color="auto"/>
        <w:right w:val="none" w:sz="0" w:space="0" w:color="auto"/>
      </w:divBdr>
    </w:div>
    <w:div w:id="1425221158">
      <w:bodyDiv w:val="1"/>
      <w:marLeft w:val="0"/>
      <w:marRight w:val="0"/>
      <w:marTop w:val="0"/>
      <w:marBottom w:val="0"/>
      <w:divBdr>
        <w:top w:val="none" w:sz="0" w:space="0" w:color="auto"/>
        <w:left w:val="none" w:sz="0" w:space="0" w:color="auto"/>
        <w:bottom w:val="none" w:sz="0" w:space="0" w:color="auto"/>
        <w:right w:val="none" w:sz="0" w:space="0" w:color="auto"/>
      </w:divBdr>
    </w:div>
    <w:div w:id="1745226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dha.detrick.cod-a.mbx.dha-uf-bpa-official@mail.mil" TargetMode="External"/><Relationship Id="rId13"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dha.jbsa.tricare-south.mbx.strategic-sourcing-rph@mail.mil"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580</Words>
  <Characters>3309</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DOD</Company>
  <LinksUpToDate>false</LinksUpToDate>
  <CharactersWithSpaces>3882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Halbe, Matthew, CTR, DHA</dc:creator>
  <cp:lastModifiedBy>Meyle, Jessica, CTR, DHA</cp:lastModifiedBy>
  <cp:revision>2</cp:revision>
  <cp:lastPrinted>2015-02-18T15:21:00Z</cp:lastPrinted>
  <dcterms:created xsi:type="dcterms:W3CDTF">2016-09-02T18:40:00Z</dcterms:created>
  <dcterms:modified xsi:type="dcterms:W3CDTF">2016-09-02T18:40:00Z</dcterms:modified>
</cp:coreProperties>
</file>