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885" w:rsidRDefault="00822885" w:rsidP="00822885">
      <w:pPr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7E5A39">
        <w:rPr>
          <w:rFonts w:ascii="Arial" w:hAnsi="Arial" w:cs="Arial"/>
          <w:b/>
          <w:bCs/>
          <w:sz w:val="28"/>
          <w:szCs w:val="28"/>
        </w:rPr>
        <w:t>UF BPA Appendix</w:t>
      </w:r>
      <w:r>
        <w:rPr>
          <w:rFonts w:ascii="Arial" w:hAnsi="Arial" w:cs="Arial"/>
          <w:b/>
          <w:bCs/>
          <w:sz w:val="28"/>
          <w:szCs w:val="28"/>
        </w:rPr>
        <w:t xml:space="preserve"> for the</w:t>
      </w:r>
      <w:r w:rsidR="00437054">
        <w:rPr>
          <w:rFonts w:ascii="Arial" w:hAnsi="Arial" w:cs="Arial"/>
          <w:b/>
          <w:bCs/>
          <w:color w:val="FF0000"/>
          <w:sz w:val="28"/>
          <w:szCs w:val="28"/>
        </w:rPr>
        <w:t xml:space="preserve"> Ma</w:t>
      </w:r>
      <w:r w:rsidR="009D0AA0">
        <w:rPr>
          <w:rFonts w:ascii="Arial" w:hAnsi="Arial" w:cs="Arial"/>
          <w:b/>
          <w:bCs/>
          <w:color w:val="FF0000"/>
          <w:sz w:val="28"/>
          <w:szCs w:val="28"/>
        </w:rPr>
        <w:t xml:space="preserve">y </w:t>
      </w:r>
      <w:r>
        <w:rPr>
          <w:rFonts w:ascii="Arial" w:hAnsi="Arial" w:cs="Arial"/>
          <w:b/>
          <w:bCs/>
          <w:color w:val="FF0000"/>
          <w:sz w:val="28"/>
          <w:szCs w:val="28"/>
        </w:rPr>
        <w:t>201</w:t>
      </w:r>
      <w:r w:rsidR="009D0AA0">
        <w:rPr>
          <w:rFonts w:ascii="Arial" w:hAnsi="Arial" w:cs="Arial"/>
          <w:b/>
          <w:bCs/>
          <w:color w:val="FF0000"/>
          <w:sz w:val="28"/>
          <w:szCs w:val="28"/>
        </w:rPr>
        <w:t>6</w:t>
      </w:r>
      <w:r>
        <w:rPr>
          <w:rFonts w:ascii="Arial" w:hAnsi="Arial" w:cs="Arial"/>
          <w:b/>
          <w:bCs/>
          <w:sz w:val="28"/>
          <w:szCs w:val="28"/>
        </w:rPr>
        <w:t xml:space="preserve"> DoD P&amp;T Meeting</w:t>
      </w:r>
    </w:p>
    <w:p w:rsidR="00822885" w:rsidRDefault="00822885" w:rsidP="00822885">
      <w:pPr>
        <w:jc w:val="center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Uniform Formulary Price Quotes and</w:t>
      </w:r>
    </w:p>
    <w:p w:rsidR="00822885" w:rsidRDefault="00822885" w:rsidP="00822885">
      <w:pPr>
        <w:jc w:val="center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Uniform Formulary Blanket Purchase Agreements (BPA)</w:t>
      </w:r>
    </w:p>
    <w:p w:rsidR="00822885" w:rsidRDefault="00822885" w:rsidP="00822885">
      <w:pPr>
        <w:jc w:val="center"/>
        <w:rPr>
          <w:rFonts w:ascii="Arial" w:hAnsi="Arial" w:cs="Arial"/>
          <w:sz w:val="23"/>
          <w:szCs w:val="23"/>
        </w:rPr>
      </w:pPr>
    </w:p>
    <w:p w:rsidR="00822885" w:rsidRDefault="0004175D" w:rsidP="00822885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following Condition Sets</w:t>
      </w:r>
      <w:r w:rsidR="00822885">
        <w:rPr>
          <w:rFonts w:ascii="Arial" w:hAnsi="Arial" w:cs="Arial"/>
          <w:sz w:val="20"/>
          <w:szCs w:val="20"/>
        </w:rPr>
        <w:t xml:space="preserve"> </w:t>
      </w:r>
      <w:r w:rsidR="00822885">
        <w:rPr>
          <w:rFonts w:ascii="Arial" w:hAnsi="Arial" w:cs="Arial"/>
          <w:bCs/>
          <w:sz w:val="20"/>
          <w:szCs w:val="20"/>
        </w:rPr>
        <w:t xml:space="preserve">identify the conditions under which UF BPA price quotes are to be submitted by the Company. </w:t>
      </w:r>
    </w:p>
    <w:p w:rsidR="00822885" w:rsidRDefault="00822885" w:rsidP="00822885">
      <w:pPr>
        <w:rPr>
          <w:rFonts w:ascii="Arial" w:hAnsi="Arial" w:cs="Arial"/>
          <w:bCs/>
          <w:sz w:val="20"/>
          <w:szCs w:val="20"/>
        </w:rPr>
      </w:pPr>
    </w:p>
    <w:p w:rsidR="00822885" w:rsidRDefault="00822885" w:rsidP="00822885">
      <w:pPr>
        <w:rPr>
          <w:rFonts w:ascii="Arial" w:hAnsi="Arial" w:cs="Arial"/>
          <w:sz w:val="20"/>
          <w:szCs w:val="20"/>
        </w:rPr>
      </w:pPr>
      <w:r w:rsidRPr="00600B73">
        <w:rPr>
          <w:rFonts w:ascii="Arial" w:hAnsi="Arial" w:cs="Arial"/>
          <w:sz w:val="20"/>
          <w:szCs w:val="20"/>
        </w:rPr>
        <w:t>Medications placed on the Uniform Formulary but not BCF or ECF are available for the local Military Treatment Facility P&amp;T to decide whether to place on their individual formulary.</w:t>
      </w:r>
    </w:p>
    <w:p w:rsidR="00822885" w:rsidRDefault="00822885" w:rsidP="00822885">
      <w:pPr>
        <w:rPr>
          <w:rFonts w:ascii="Arial" w:hAnsi="Arial" w:cs="Arial"/>
          <w:sz w:val="20"/>
          <w:szCs w:val="20"/>
        </w:rPr>
      </w:pPr>
    </w:p>
    <w:p w:rsidR="00822885" w:rsidRPr="00D86377" w:rsidRDefault="00822885" w:rsidP="00822885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The Company must submit a separate, complete UF BPA price quote for each NDC (enter in table below*) that applies to the Company’s pharmaceutical agent(s) in a given drug class.  </w:t>
      </w:r>
    </w:p>
    <w:p w:rsidR="00B17216" w:rsidRDefault="00B17216" w:rsidP="00B17216">
      <w:pPr>
        <w:rPr>
          <w:rFonts w:ascii="Arial" w:hAnsi="Arial" w:cs="Arial"/>
          <w:sz w:val="20"/>
          <w:szCs w:val="20"/>
        </w:rPr>
      </w:pP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0"/>
        <w:gridCol w:w="2810"/>
        <w:gridCol w:w="1826"/>
        <w:gridCol w:w="2161"/>
        <w:gridCol w:w="2176"/>
      </w:tblGrid>
      <w:tr w:rsidR="00822885" w:rsidRPr="00FC65BB" w:rsidTr="00822885">
        <w:trPr>
          <w:trHeight w:val="288"/>
        </w:trPr>
        <w:tc>
          <w:tcPr>
            <w:tcW w:w="881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NDC</w:t>
            </w:r>
          </w:p>
        </w:tc>
        <w:tc>
          <w:tcPr>
            <w:tcW w:w="1290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Drug Name</w:t>
            </w:r>
          </w:p>
        </w:tc>
        <w:tc>
          <w:tcPr>
            <w:tcW w:w="838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Strength</w:t>
            </w:r>
          </w:p>
        </w:tc>
        <w:tc>
          <w:tcPr>
            <w:tcW w:w="992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Dosage Form</w:t>
            </w:r>
          </w:p>
        </w:tc>
        <w:tc>
          <w:tcPr>
            <w:tcW w:w="999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Package Size</w:t>
            </w:r>
          </w:p>
        </w:tc>
      </w:tr>
      <w:tr w:rsidR="00822885" w:rsidRPr="00FC65BB" w:rsidTr="00822885">
        <w:trPr>
          <w:trHeight w:val="288"/>
        </w:trPr>
        <w:tc>
          <w:tcPr>
            <w:tcW w:w="881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permStart w:id="11935335" w:edGrp="everyone" w:colFirst="0" w:colLast="0"/>
            <w:permStart w:id="2056809812" w:edGrp="everyone" w:colFirst="1" w:colLast="1"/>
            <w:permStart w:id="558263056" w:edGrp="everyone" w:colFirst="2" w:colLast="2"/>
            <w:permStart w:id="571551180" w:edGrp="everyone" w:colFirst="3" w:colLast="3"/>
            <w:permStart w:id="645076430" w:edGrp="everyone" w:colFirst="4" w:colLast="4"/>
          </w:p>
        </w:tc>
        <w:tc>
          <w:tcPr>
            <w:tcW w:w="1290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</w:p>
        </w:tc>
        <w:tc>
          <w:tcPr>
            <w:tcW w:w="838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</w:p>
        </w:tc>
        <w:tc>
          <w:tcPr>
            <w:tcW w:w="992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</w:p>
        </w:tc>
        <w:tc>
          <w:tcPr>
            <w:tcW w:w="999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</w:p>
        </w:tc>
      </w:tr>
      <w:permEnd w:id="11935335"/>
      <w:permEnd w:id="2056809812"/>
      <w:permEnd w:id="558263056"/>
      <w:permEnd w:id="571551180"/>
      <w:permEnd w:id="645076430"/>
    </w:tbl>
    <w:p w:rsidR="00822885" w:rsidRDefault="00822885" w:rsidP="00822885"/>
    <w:tbl>
      <w:tblPr>
        <w:tblW w:w="0" w:type="auto"/>
        <w:tblInd w:w="103" w:type="dxa"/>
        <w:tblLook w:val="04A0" w:firstRow="1" w:lastRow="0" w:firstColumn="1" w:lastColumn="0" w:noHBand="0" w:noVBand="1"/>
      </w:tblPr>
      <w:tblGrid>
        <w:gridCol w:w="3550"/>
        <w:gridCol w:w="2153"/>
        <w:gridCol w:w="1908"/>
        <w:gridCol w:w="2073"/>
        <w:gridCol w:w="1229"/>
      </w:tblGrid>
      <w:tr w:rsidR="00B153AD" w:rsidRPr="00F363B4" w:rsidTr="00943BC1">
        <w:trPr>
          <w:trHeight w:val="31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B153AD" w:rsidRPr="005F7222" w:rsidRDefault="00B153AD" w:rsidP="00943BC1">
            <w:pPr>
              <w:pStyle w:val="Defaul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DoD Uniform Formulary</w:t>
            </w:r>
            <w:r w:rsidRPr="005F7222">
              <w:rPr>
                <w:rFonts w:ascii="Arial" w:hAnsi="Arial" w:cs="Arial"/>
                <w:b/>
                <w:bCs/>
                <w:szCs w:val="20"/>
              </w:rPr>
              <w:t xml:space="preserve"> Class: </w:t>
            </w:r>
            <w:r w:rsidRPr="00A22933">
              <w:rPr>
                <w:rFonts w:ascii="Arial" w:hAnsi="Arial" w:cs="Arial"/>
                <w:b/>
                <w:bCs/>
                <w:color w:val="FF0000"/>
                <w:szCs w:val="20"/>
              </w:rPr>
              <w:t>RENIN-ANGIOTENSIN ANTIHYPERTENSIVES</w:t>
            </w:r>
          </w:p>
          <w:p w:rsidR="00B153AD" w:rsidRPr="007A14B4" w:rsidRDefault="00B153AD" w:rsidP="00943BC1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DoD Uniform Formulary</w:t>
            </w:r>
            <w:r w:rsidRPr="005F7222">
              <w:rPr>
                <w:rFonts w:ascii="Arial" w:hAnsi="Arial" w:cs="Arial"/>
                <w:b/>
                <w:bCs/>
                <w:szCs w:val="20"/>
              </w:rPr>
              <w:t xml:space="preserve"> Sub-Class: </w:t>
            </w:r>
            <w:r w:rsidRPr="00A22933">
              <w:rPr>
                <w:rFonts w:ascii="Arial" w:hAnsi="Arial" w:cs="Arial"/>
                <w:b/>
                <w:bCs/>
                <w:color w:val="FF0000"/>
                <w:szCs w:val="20"/>
              </w:rPr>
              <w:t>COMBINATIONS</w:t>
            </w:r>
          </w:p>
        </w:tc>
      </w:tr>
      <w:tr w:rsidR="00B153AD" w:rsidTr="00943BC1">
        <w:trPr>
          <w:trHeight w:val="179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B153AD" w:rsidRPr="00A677D1" w:rsidRDefault="00B153AD" w:rsidP="00943B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7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Class Note(s):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Prior Authorization (PA) may apply</w:t>
            </w:r>
          </w:p>
        </w:tc>
      </w:tr>
      <w:tr w:rsidR="00B153AD" w:rsidTr="00943BC1">
        <w:trPr>
          <w:trHeight w:val="206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B153AD" w:rsidRPr="00A677D1" w:rsidRDefault="00B153AD" w:rsidP="00943B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7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Step Therapy Addendum:  </w:t>
            </w:r>
            <w:r w:rsidRPr="00023FA6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Grandfathering: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15DCC">
              <w:rPr>
                <w:rFonts w:ascii="Arial" w:hAnsi="Arial" w:cs="Arial"/>
                <w:bCs/>
                <w:sz w:val="20"/>
                <w:szCs w:val="20"/>
              </w:rPr>
              <w:t>Step therapy, a prior authorization process, would require all new patients to complete an adequate trial of the step-preferred agent(s) before a non-step-preferred agent is provided to a new user.  Unless otherwise noted, patients must have tried an agent in the class in the previous 180 days in order to be excluded from the prior authorization process.</w:t>
            </w:r>
          </w:p>
        </w:tc>
      </w:tr>
      <w:tr w:rsidR="00B153AD" w:rsidRPr="00221945" w:rsidTr="00943BC1">
        <w:trPr>
          <w:trHeight w:val="363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153AD" w:rsidRPr="00221945" w:rsidRDefault="00B153AD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21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Condition Set #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153AD" w:rsidRPr="00221945" w:rsidRDefault="00B153AD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21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Category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153AD" w:rsidRPr="00221945" w:rsidRDefault="00B153AD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One of (X) n</w:t>
            </w:r>
            <w:r w:rsidRPr="00221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umber of brand agents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153AD" w:rsidRDefault="00B153AD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21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Military Treatment Facility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&amp;</w:t>
            </w:r>
          </w:p>
          <w:p w:rsidR="00B153AD" w:rsidRPr="00221945" w:rsidRDefault="00B153AD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Mail Order</w:t>
            </w:r>
          </w:p>
        </w:tc>
      </w:tr>
      <w:tr w:rsidR="00B153AD" w:rsidRPr="00221945" w:rsidTr="00943BC1">
        <w:trPr>
          <w:trHeight w:val="91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B153AD" w:rsidRPr="00221945" w:rsidRDefault="00B153AD" w:rsidP="00943B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B153AD" w:rsidRPr="00221945" w:rsidRDefault="00B153AD" w:rsidP="00943B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B153AD" w:rsidRPr="00221945" w:rsidRDefault="00B153AD" w:rsidP="00943B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B153AD" w:rsidRPr="00A838D5" w:rsidRDefault="00B153AD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8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Price per Unit of Measure (each, gram, m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L) to 2</w:t>
            </w:r>
            <w:r w:rsidRPr="00A838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decimal places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B153AD" w:rsidRDefault="00B153AD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8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Price Per NDC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to </w:t>
            </w:r>
          </w:p>
          <w:p w:rsidR="00B153AD" w:rsidRPr="00A838D5" w:rsidRDefault="00B153AD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decimal places</w:t>
            </w:r>
          </w:p>
        </w:tc>
      </w:tr>
      <w:tr w:rsidR="00B153AD" w:rsidRPr="00221945" w:rsidTr="00943BC1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3AD" w:rsidRDefault="00B153AD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ermStart w:id="867124092" w:edGrp="everyone" w:colFirst="3" w:colLast="3"/>
            <w:permStart w:id="1246888400" w:edGrp="everyone" w:colFirst="4" w:colLast="4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Military Treatment Facility &amp; Mail</w:t>
            </w:r>
          </w:p>
          <w:p w:rsidR="00B153AD" w:rsidRPr="00221945" w:rsidRDefault="00B153AD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163RACO</w:t>
            </w:r>
            <w:r w:rsidRPr="00F31617">
              <w:rPr>
                <w:rFonts w:ascii="Arial" w:hAnsi="Arial" w:cs="Arial"/>
                <w:b/>
                <w:sz w:val="20"/>
                <w:szCs w:val="20"/>
              </w:rPr>
              <w:t>G1UFAS1M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3AD" w:rsidRDefault="00B153AD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316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Uniform Formulary but not BCF or ECF </w:t>
            </w:r>
          </w:p>
          <w:p w:rsidR="00B153AD" w:rsidRPr="00221945" w:rsidRDefault="00B153AD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316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After Step Therapy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3AD" w:rsidRPr="00221945" w:rsidRDefault="00B153AD" w:rsidP="00943BC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or more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3AD" w:rsidRDefault="00B153AD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3AD" w:rsidRDefault="00B153AD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</w:t>
            </w:r>
          </w:p>
        </w:tc>
      </w:tr>
      <w:permEnd w:id="867124092"/>
      <w:permEnd w:id="1246888400"/>
      <w:tr w:rsidR="00B153AD" w:rsidRPr="00221945" w:rsidTr="00943BC1">
        <w:trPr>
          <w:trHeight w:val="14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B153AD" w:rsidRPr="00221945" w:rsidRDefault="00B153AD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B153AD" w:rsidRPr="00221945" w:rsidRDefault="00B153AD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B153AD" w:rsidRPr="00221945" w:rsidRDefault="00B153AD" w:rsidP="00943BC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B153AD" w:rsidRPr="00221945" w:rsidRDefault="00B153AD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822885" w:rsidRPr="00582491" w:rsidRDefault="00822885" w:rsidP="00822885">
      <w:pPr>
        <w:rPr>
          <w:rFonts w:ascii="Arial" w:hAnsi="Arial" w:cs="Arial"/>
          <w:b/>
          <w:sz w:val="18"/>
          <w:szCs w:val="20"/>
        </w:rPr>
      </w:pPr>
      <w:r w:rsidRPr="00582491">
        <w:rPr>
          <w:rFonts w:ascii="Arial" w:hAnsi="Arial" w:cs="Arial"/>
          <w:b/>
          <w:sz w:val="18"/>
          <w:szCs w:val="20"/>
        </w:rPr>
        <w:t>*</w:t>
      </w:r>
      <w:r w:rsidRPr="00582491">
        <w:rPr>
          <w:rFonts w:ascii="Arial" w:hAnsi="Arial" w:cs="Arial"/>
          <w:b/>
          <w:bCs/>
          <w:color w:val="000000"/>
          <w:sz w:val="18"/>
          <w:szCs w:val="20"/>
        </w:rPr>
        <w:t xml:space="preserve"> Only one price per category may be submitted.</w:t>
      </w:r>
    </w:p>
    <w:p w:rsidR="00822885" w:rsidRDefault="00822885" w:rsidP="00822885">
      <w:pPr>
        <w:spacing w:after="240"/>
        <w:jc w:val="center"/>
        <w:rPr>
          <w:rFonts w:ascii="Arial" w:hAnsi="Arial" w:cs="Arial"/>
          <w:b/>
          <w:bCs/>
          <w:sz w:val="28"/>
          <w:szCs w:val="28"/>
        </w:rPr>
      </w:pPr>
      <w:permStart w:id="1145665628" w:edGrp="everyone"/>
      <w:permEnd w:id="1145665628"/>
      <w:r>
        <w:rPr>
          <w:rFonts w:ascii="Arial" w:hAnsi="Arial" w:cs="Arial"/>
          <w:b/>
          <w:sz w:val="20"/>
          <w:szCs w:val="20"/>
        </w:rPr>
        <w:br w:type="page"/>
      </w:r>
      <w:r w:rsidR="00804D29">
        <w:rPr>
          <w:rFonts w:ascii="Arial" w:hAnsi="Arial" w:cs="Arial"/>
          <w:b/>
          <w:bCs/>
          <w:sz w:val="28"/>
          <w:szCs w:val="28"/>
        </w:rPr>
        <w:lastRenderedPageBreak/>
        <w:t>UF VARR</w:t>
      </w:r>
      <w:r w:rsidRPr="007E5A39">
        <w:rPr>
          <w:rFonts w:ascii="Arial" w:hAnsi="Arial" w:cs="Arial"/>
          <w:b/>
          <w:bCs/>
          <w:sz w:val="28"/>
          <w:szCs w:val="28"/>
        </w:rPr>
        <w:t xml:space="preserve"> Appendix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F02EED">
        <w:rPr>
          <w:rFonts w:ascii="Arial" w:hAnsi="Arial" w:cs="Arial"/>
          <w:b/>
          <w:bCs/>
          <w:sz w:val="28"/>
          <w:szCs w:val="28"/>
        </w:rPr>
        <w:t xml:space="preserve">for the </w:t>
      </w:r>
      <w:r w:rsidR="00437054">
        <w:rPr>
          <w:rFonts w:ascii="Arial" w:hAnsi="Arial" w:cs="Arial"/>
          <w:b/>
          <w:bCs/>
          <w:color w:val="FF0000"/>
          <w:sz w:val="28"/>
          <w:szCs w:val="28"/>
        </w:rPr>
        <w:t>Ma</w:t>
      </w:r>
      <w:r w:rsidR="009D0AA0" w:rsidRPr="009D0AA0">
        <w:rPr>
          <w:rFonts w:ascii="Arial" w:hAnsi="Arial" w:cs="Arial"/>
          <w:b/>
          <w:bCs/>
          <w:color w:val="FF0000"/>
          <w:sz w:val="28"/>
          <w:szCs w:val="28"/>
        </w:rPr>
        <w:t xml:space="preserve">y 2016 </w:t>
      </w:r>
      <w:r w:rsidRPr="00F02EED">
        <w:rPr>
          <w:rFonts w:ascii="Arial" w:hAnsi="Arial" w:cs="Arial"/>
          <w:b/>
          <w:bCs/>
          <w:sz w:val="28"/>
          <w:szCs w:val="28"/>
        </w:rPr>
        <w:t>DoD P&amp;T Meeting</w:t>
      </w:r>
    </w:p>
    <w:p w:rsidR="00822885" w:rsidRPr="007D1B1F" w:rsidRDefault="00822885" w:rsidP="00822885">
      <w:pPr>
        <w:spacing w:after="240"/>
        <w:jc w:val="center"/>
        <w:rPr>
          <w:rFonts w:ascii="Arial" w:hAnsi="Arial" w:cs="Arial"/>
          <w:b/>
          <w:bCs/>
          <w:sz w:val="20"/>
          <w:szCs w:val="20"/>
        </w:rPr>
      </w:pPr>
      <w:r w:rsidRPr="007D1B1F">
        <w:rPr>
          <w:rFonts w:ascii="Arial" w:hAnsi="Arial" w:cs="Arial"/>
          <w:b/>
          <w:bCs/>
          <w:sz w:val="20"/>
          <w:szCs w:val="20"/>
        </w:rPr>
        <w:t xml:space="preserve">Condition Sets for </w:t>
      </w:r>
      <w:r w:rsidR="00437054" w:rsidRPr="00437054">
        <w:rPr>
          <w:rFonts w:ascii="Arial" w:hAnsi="Arial" w:cs="Arial"/>
          <w:b/>
          <w:bCs/>
          <w:sz w:val="20"/>
          <w:szCs w:val="20"/>
        </w:rPr>
        <w:t xml:space="preserve">Uniform Formulary </w:t>
      </w:r>
      <w:r w:rsidR="00CE2386">
        <w:rPr>
          <w:rFonts w:ascii="Arial" w:hAnsi="Arial" w:cs="Arial"/>
          <w:b/>
          <w:bCs/>
          <w:sz w:val="20"/>
          <w:szCs w:val="20"/>
        </w:rPr>
        <w:t>Voluntary TRICARE Retail Pharmacy Refunds</w:t>
      </w:r>
      <w:r w:rsidR="00437054" w:rsidRPr="00437054">
        <w:rPr>
          <w:rFonts w:ascii="Arial" w:hAnsi="Arial" w:cs="Arial"/>
          <w:b/>
          <w:bCs/>
          <w:sz w:val="20"/>
          <w:szCs w:val="20"/>
        </w:rPr>
        <w:t xml:space="preserve"> Program (UF </w:t>
      </w:r>
      <w:r w:rsidR="00CE2386">
        <w:rPr>
          <w:rFonts w:ascii="Arial" w:hAnsi="Arial" w:cs="Arial"/>
          <w:b/>
          <w:bCs/>
          <w:sz w:val="20"/>
          <w:szCs w:val="20"/>
        </w:rPr>
        <w:t>VARR</w:t>
      </w:r>
      <w:r w:rsidR="00437054">
        <w:rPr>
          <w:rFonts w:ascii="Arial" w:hAnsi="Arial" w:cs="Arial"/>
          <w:b/>
          <w:bCs/>
          <w:sz w:val="20"/>
          <w:szCs w:val="20"/>
        </w:rPr>
        <w:t>)</w:t>
      </w:r>
    </w:p>
    <w:p w:rsidR="00822885" w:rsidRPr="008B4B28" w:rsidRDefault="0004175D" w:rsidP="00822885">
      <w:pPr>
        <w:spacing w:after="120"/>
        <w:rPr>
          <w:rFonts w:ascii="Arial" w:hAnsi="Arial" w:cs="Arial"/>
          <w:bCs/>
          <w:sz w:val="20"/>
        </w:rPr>
      </w:pPr>
      <w:r>
        <w:rPr>
          <w:rFonts w:ascii="Arial" w:hAnsi="Arial" w:cs="Arial"/>
          <w:sz w:val="20"/>
        </w:rPr>
        <w:t>The following Condition Sets</w:t>
      </w:r>
      <w:r w:rsidR="00822885" w:rsidRPr="008B4B28">
        <w:rPr>
          <w:rFonts w:ascii="Arial" w:hAnsi="Arial" w:cs="Arial"/>
          <w:sz w:val="20"/>
        </w:rPr>
        <w:t xml:space="preserve"> </w:t>
      </w:r>
      <w:r w:rsidR="00822885" w:rsidRPr="008B4B28">
        <w:rPr>
          <w:rFonts w:ascii="Arial" w:hAnsi="Arial" w:cs="Arial"/>
          <w:bCs/>
          <w:sz w:val="20"/>
        </w:rPr>
        <w:t>identify th</w:t>
      </w:r>
      <w:r w:rsidR="00437054">
        <w:rPr>
          <w:rFonts w:ascii="Arial" w:hAnsi="Arial" w:cs="Arial"/>
          <w:bCs/>
          <w:sz w:val="20"/>
        </w:rPr>
        <w:t>e conditions under which UF</w:t>
      </w:r>
      <w:r w:rsidR="00CE2386">
        <w:rPr>
          <w:rFonts w:ascii="Arial" w:hAnsi="Arial" w:cs="Arial"/>
          <w:bCs/>
          <w:sz w:val="20"/>
        </w:rPr>
        <w:t xml:space="preserve"> VARR</w:t>
      </w:r>
      <w:r w:rsidR="00822885" w:rsidRPr="008B4B28">
        <w:rPr>
          <w:rFonts w:ascii="Arial" w:hAnsi="Arial" w:cs="Arial"/>
          <w:bCs/>
          <w:sz w:val="20"/>
        </w:rPr>
        <w:t xml:space="preserve"> quotes are to be submitted by the Company. </w:t>
      </w:r>
    </w:p>
    <w:p w:rsidR="00822885" w:rsidRPr="008B4B28" w:rsidRDefault="00822885" w:rsidP="00822885">
      <w:pPr>
        <w:spacing w:after="120"/>
        <w:rPr>
          <w:rFonts w:ascii="Arial" w:hAnsi="Arial" w:cs="Arial"/>
          <w:bCs/>
          <w:sz w:val="20"/>
        </w:rPr>
      </w:pPr>
      <w:r w:rsidRPr="008B4B28">
        <w:rPr>
          <w:rFonts w:ascii="Arial" w:hAnsi="Arial" w:cs="Arial"/>
          <w:bCs/>
          <w:sz w:val="20"/>
        </w:rPr>
        <w:t>The Company must submit a separate, complete UF</w:t>
      </w:r>
      <w:r w:rsidR="00CE2386">
        <w:rPr>
          <w:rFonts w:ascii="Arial" w:hAnsi="Arial" w:cs="Arial"/>
          <w:bCs/>
          <w:sz w:val="20"/>
        </w:rPr>
        <w:t xml:space="preserve"> VARR</w:t>
      </w:r>
      <w:r w:rsidRPr="008B4B28">
        <w:rPr>
          <w:rFonts w:ascii="Arial" w:hAnsi="Arial" w:cs="Arial"/>
          <w:bCs/>
          <w:sz w:val="20"/>
        </w:rPr>
        <w:t xml:space="preserve"> </w:t>
      </w:r>
      <w:r w:rsidR="0004175D">
        <w:rPr>
          <w:rFonts w:ascii="Arial" w:hAnsi="Arial" w:cs="Arial"/>
          <w:bCs/>
          <w:sz w:val="20"/>
        </w:rPr>
        <w:t>pricing appendix for each Condition Set that applies to the Company’s pharmaceutical agents in a given drug class.</w:t>
      </w:r>
    </w:p>
    <w:p w:rsidR="00822885" w:rsidRDefault="00822885" w:rsidP="00822885">
      <w:pPr>
        <w:spacing w:after="120"/>
        <w:rPr>
          <w:rFonts w:ascii="Arial" w:hAnsi="Arial" w:cs="Arial"/>
          <w:bCs/>
          <w:sz w:val="20"/>
        </w:rPr>
      </w:pPr>
      <w:r w:rsidRPr="008B4B28">
        <w:rPr>
          <w:rFonts w:ascii="Arial" w:hAnsi="Arial" w:cs="Arial"/>
          <w:bCs/>
          <w:sz w:val="20"/>
        </w:rPr>
        <w:t>The refund quoted wil</w:t>
      </w:r>
      <w:r w:rsidR="00CE2386">
        <w:rPr>
          <w:rFonts w:ascii="Arial" w:hAnsi="Arial" w:cs="Arial"/>
          <w:bCs/>
          <w:sz w:val="20"/>
        </w:rPr>
        <w:t>l apply to the resulting UF VARR</w:t>
      </w:r>
      <w:r w:rsidRPr="008B4B28">
        <w:rPr>
          <w:rFonts w:ascii="Arial" w:hAnsi="Arial" w:cs="Arial"/>
          <w:bCs/>
          <w:sz w:val="20"/>
        </w:rPr>
        <w:t xml:space="preserve"> if the quoted pharmaceutical agent is selected for inclusion on the UF in no worse than the formulary (</w:t>
      </w:r>
      <w:r w:rsidR="00916F7D">
        <w:rPr>
          <w:rFonts w:ascii="Arial" w:hAnsi="Arial" w:cs="Arial"/>
          <w:bCs/>
          <w:sz w:val="20"/>
        </w:rPr>
        <w:t>Tier 2</w:t>
      </w:r>
      <w:r w:rsidRPr="008B4B28">
        <w:rPr>
          <w:rFonts w:ascii="Arial" w:hAnsi="Arial" w:cs="Arial"/>
          <w:bCs/>
          <w:sz w:val="20"/>
        </w:rPr>
        <w:t>) cost share.</w:t>
      </w:r>
      <w:r w:rsidR="001D69F8">
        <w:rPr>
          <w:rFonts w:ascii="Arial" w:hAnsi="Arial" w:cs="Arial"/>
          <w:bCs/>
          <w:sz w:val="20"/>
        </w:rPr>
        <w:t xml:space="preserve">  </w:t>
      </w:r>
      <w:r w:rsidRPr="008B4B28">
        <w:rPr>
          <w:rFonts w:ascii="Arial" w:hAnsi="Arial" w:cs="Arial"/>
          <w:bCs/>
          <w:sz w:val="20"/>
        </w:rPr>
        <w:t>The refund quoted is not contingent on the quoted pharmaceutical agent being selected for inclusion on the BCF or ECF.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5"/>
        <w:gridCol w:w="2809"/>
        <w:gridCol w:w="1824"/>
        <w:gridCol w:w="2161"/>
        <w:gridCol w:w="2177"/>
      </w:tblGrid>
      <w:tr w:rsidR="00822885" w:rsidRPr="00822885" w:rsidTr="00822885">
        <w:trPr>
          <w:trHeight w:val="288"/>
        </w:trPr>
        <w:tc>
          <w:tcPr>
            <w:tcW w:w="92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r w:rsidRPr="00822885">
              <w:rPr>
                <w:rFonts w:ascii="Arial" w:hAnsi="Arial" w:cs="Arial"/>
                <w:b/>
                <w:color w:val="244061"/>
                <w:sz w:val="20"/>
                <w:szCs w:val="20"/>
              </w:rPr>
              <w:t>NDC</w:t>
            </w:r>
          </w:p>
        </w:tc>
        <w:tc>
          <w:tcPr>
            <w:tcW w:w="1275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r w:rsidRPr="00822885">
              <w:rPr>
                <w:rFonts w:ascii="Arial" w:hAnsi="Arial" w:cs="Arial"/>
                <w:b/>
                <w:color w:val="244061"/>
                <w:sz w:val="20"/>
                <w:szCs w:val="20"/>
              </w:rPr>
              <w:t>Drug Name</w:t>
            </w:r>
          </w:p>
        </w:tc>
        <w:tc>
          <w:tcPr>
            <w:tcW w:w="82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r w:rsidRPr="00822885">
              <w:rPr>
                <w:rFonts w:ascii="Arial" w:hAnsi="Arial" w:cs="Arial"/>
                <w:b/>
                <w:color w:val="244061"/>
                <w:sz w:val="20"/>
                <w:szCs w:val="20"/>
              </w:rPr>
              <w:t>Strength</w:t>
            </w:r>
          </w:p>
        </w:tc>
        <w:tc>
          <w:tcPr>
            <w:tcW w:w="981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r w:rsidRPr="00822885">
              <w:rPr>
                <w:rFonts w:ascii="Arial" w:hAnsi="Arial" w:cs="Arial"/>
                <w:b/>
                <w:color w:val="244061"/>
                <w:sz w:val="20"/>
                <w:szCs w:val="20"/>
              </w:rPr>
              <w:t>Dosage Form</w:t>
            </w:r>
          </w:p>
        </w:tc>
        <w:tc>
          <w:tcPr>
            <w:tcW w:w="98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r w:rsidRPr="00822885">
              <w:rPr>
                <w:rFonts w:ascii="Arial" w:hAnsi="Arial" w:cs="Arial"/>
                <w:b/>
                <w:color w:val="244061"/>
                <w:sz w:val="20"/>
                <w:szCs w:val="20"/>
              </w:rPr>
              <w:t>Package Size</w:t>
            </w:r>
          </w:p>
        </w:tc>
      </w:tr>
      <w:tr w:rsidR="00822885" w:rsidRPr="00822885" w:rsidTr="00822885">
        <w:trPr>
          <w:trHeight w:val="288"/>
        </w:trPr>
        <w:tc>
          <w:tcPr>
            <w:tcW w:w="92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permStart w:id="522287673" w:edGrp="everyone" w:colFirst="0" w:colLast="0"/>
            <w:permStart w:id="1033329271" w:edGrp="everyone" w:colFirst="1" w:colLast="1"/>
            <w:permStart w:id="1286438875" w:edGrp="everyone" w:colFirst="2" w:colLast="2"/>
            <w:permStart w:id="813648191" w:edGrp="everyone" w:colFirst="3" w:colLast="3"/>
            <w:permStart w:id="262284420" w:edGrp="everyone" w:colFirst="4" w:colLast="4"/>
          </w:p>
        </w:tc>
        <w:tc>
          <w:tcPr>
            <w:tcW w:w="1275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</w:p>
        </w:tc>
        <w:tc>
          <w:tcPr>
            <w:tcW w:w="82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</w:p>
        </w:tc>
        <w:tc>
          <w:tcPr>
            <w:tcW w:w="981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</w:p>
        </w:tc>
        <w:tc>
          <w:tcPr>
            <w:tcW w:w="98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</w:p>
        </w:tc>
      </w:tr>
      <w:permEnd w:id="522287673"/>
      <w:permEnd w:id="1033329271"/>
      <w:permEnd w:id="1286438875"/>
      <w:permEnd w:id="813648191"/>
      <w:permEnd w:id="262284420"/>
    </w:tbl>
    <w:p w:rsidR="00822885" w:rsidRPr="00822885" w:rsidRDefault="00822885" w:rsidP="00822885">
      <w:pPr>
        <w:rPr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195"/>
        <w:gridCol w:w="1114"/>
        <w:gridCol w:w="1200"/>
        <w:gridCol w:w="1762"/>
        <w:gridCol w:w="1077"/>
        <w:gridCol w:w="1071"/>
        <w:gridCol w:w="1337"/>
        <w:gridCol w:w="1260"/>
      </w:tblGrid>
      <w:tr w:rsidR="00B153AD" w:rsidRPr="00822885" w:rsidTr="00822885">
        <w:trPr>
          <w:trHeight w:val="80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B153AD" w:rsidRPr="005F7222" w:rsidRDefault="00B153AD" w:rsidP="00943BC1">
            <w:pPr>
              <w:pStyle w:val="Defaul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DoD Uniform Formulary</w:t>
            </w:r>
            <w:r w:rsidRPr="005F7222">
              <w:rPr>
                <w:rFonts w:ascii="Arial" w:hAnsi="Arial" w:cs="Arial"/>
                <w:b/>
                <w:bCs/>
                <w:szCs w:val="20"/>
              </w:rPr>
              <w:t xml:space="preserve"> Class: </w:t>
            </w:r>
            <w:r w:rsidRPr="00A22933">
              <w:rPr>
                <w:rFonts w:ascii="Arial" w:hAnsi="Arial" w:cs="Arial"/>
                <w:b/>
                <w:bCs/>
                <w:color w:val="FF0000"/>
                <w:szCs w:val="20"/>
              </w:rPr>
              <w:t>RENIN-ANGIOTENSIN ANTIHYPERTENSIVES</w:t>
            </w:r>
          </w:p>
          <w:p w:rsidR="00B153AD" w:rsidRPr="00822885" w:rsidRDefault="00B153AD" w:rsidP="00943B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DoD Uniform Formulary</w:t>
            </w:r>
            <w:r w:rsidRPr="005F7222">
              <w:rPr>
                <w:rFonts w:ascii="Arial" w:hAnsi="Arial" w:cs="Arial"/>
                <w:b/>
                <w:bCs/>
                <w:szCs w:val="20"/>
              </w:rPr>
              <w:t xml:space="preserve"> Sub-Class: </w:t>
            </w:r>
            <w:r w:rsidRPr="00A22933">
              <w:rPr>
                <w:rFonts w:ascii="Arial" w:hAnsi="Arial" w:cs="Arial"/>
                <w:b/>
                <w:bCs/>
                <w:color w:val="FF0000"/>
                <w:szCs w:val="20"/>
              </w:rPr>
              <w:t>COMBINATIONS</w:t>
            </w:r>
          </w:p>
        </w:tc>
      </w:tr>
      <w:tr w:rsidR="00B153AD" w:rsidRPr="00822885" w:rsidTr="00822885">
        <w:trPr>
          <w:trHeight w:val="107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B153AD" w:rsidRPr="00A677D1" w:rsidRDefault="00B153AD" w:rsidP="00943B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7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Class Note(s):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Prior Authorization (PA) may apply</w:t>
            </w:r>
          </w:p>
        </w:tc>
      </w:tr>
      <w:tr w:rsidR="00B153AD" w:rsidRPr="00822885" w:rsidTr="00822885">
        <w:trPr>
          <w:trHeight w:val="107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B153AD" w:rsidRPr="00A677D1" w:rsidRDefault="00B153AD" w:rsidP="00943B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7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Step Therapy Addendum:  </w:t>
            </w:r>
            <w:r w:rsidRPr="00023FA6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Grandfathering: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15DCC">
              <w:rPr>
                <w:rFonts w:ascii="Arial" w:hAnsi="Arial" w:cs="Arial"/>
                <w:bCs/>
                <w:sz w:val="20"/>
                <w:szCs w:val="20"/>
              </w:rPr>
              <w:t>Step therapy, a prior authorization process, would require all new patients to complete an adequate trial of the step-preferred agent(s) before a non-step-preferred agent is provided to a new user.  Unless otherwise noted, patients must have tried an agent in the class in the previous 180 days in order to be excluded from the prior authorization process.</w:t>
            </w:r>
          </w:p>
        </w:tc>
      </w:tr>
      <w:tr w:rsidR="00712AE1" w:rsidRPr="00822885" w:rsidTr="00037F91">
        <w:trPr>
          <w:trHeight w:val="9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Condition Set #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Category</w:t>
            </w:r>
            <w:r w:rsidR="003A45C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One of (X) Number of brand agents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Default="00822885" w:rsidP="000838C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Most re</w:t>
            </w:r>
            <w:r w:rsidR="00163D02">
              <w:rPr>
                <w:rFonts w:ascii="Calibri" w:hAnsi="Calibri" w:cs="Calibri"/>
                <w:b/>
                <w:bCs/>
                <w:sz w:val="20"/>
                <w:szCs w:val="20"/>
              </w:rPr>
              <w:t>c</w:t>
            </w: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ent Annual Non-Federal Average Manufacturer's Price (</w:t>
            </w:r>
            <w:r w:rsidR="000838CE">
              <w:rPr>
                <w:rFonts w:ascii="Calibri" w:hAnsi="Calibri" w:cs="Calibri"/>
                <w:b/>
                <w:bCs/>
                <w:sz w:val="20"/>
                <w:szCs w:val="20"/>
              </w:rPr>
              <w:t>non-</w:t>
            </w: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FAMP) per FCP Package Size</w:t>
            </w:r>
            <w:r w:rsidR="00582491">
              <w:rPr>
                <w:rFonts w:ascii="Calibri" w:hAnsi="Calibri" w:cs="Calibri"/>
                <w:b/>
                <w:bCs/>
                <w:sz w:val="20"/>
                <w:szCs w:val="20"/>
              </w:rPr>
              <w:t>**</w:t>
            </w:r>
          </w:p>
          <w:p w:rsidR="00E04CD3" w:rsidRPr="00822885" w:rsidRDefault="00E04CD3" w:rsidP="00E04CD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Default="00822885" w:rsidP="00163D0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Current Annual Federal Ceiling Price (FCP) per FCP Package Size</w:t>
            </w:r>
            <w:r w:rsidR="008C23CD">
              <w:rPr>
                <w:rFonts w:ascii="Calibri" w:hAnsi="Calibri" w:cs="Calibri"/>
                <w:b/>
                <w:bCs/>
                <w:sz w:val="20"/>
                <w:szCs w:val="20"/>
              </w:rPr>
              <w:t>**</w:t>
            </w:r>
          </w:p>
          <w:p w:rsidR="00E04CD3" w:rsidRPr="00822885" w:rsidRDefault="00E04CD3" w:rsidP="00163D0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Standard Refund per FCP Package Size</w:t>
            </w:r>
            <w:r w:rsidR="008C23CD">
              <w:rPr>
                <w:rFonts w:ascii="Calibri" w:hAnsi="Calibri" w:cs="Calibri"/>
                <w:b/>
                <w:bCs/>
                <w:sz w:val="20"/>
                <w:szCs w:val="20"/>
              </w:rPr>
              <w:t>**</w:t>
            </w:r>
          </w:p>
          <w:p w:rsidR="00822885" w:rsidRDefault="008C23CD" w:rsidP="000838C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536E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(</w:t>
            </w:r>
            <w:r w:rsidR="000838C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non-</w:t>
            </w:r>
            <w:r w:rsidR="007536E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FAMP – FCP</w:t>
            </w:r>
            <w:r w:rsidR="00822885"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)</w:t>
            </w:r>
            <w:r w:rsidR="00822885"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:rsidR="00E04CD3" w:rsidRPr="00822885" w:rsidRDefault="00E04CD3" w:rsidP="000838C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712AE1" w:rsidRDefault="00804D29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Additional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712AE1">
              <w:rPr>
                <w:rFonts w:ascii="Calibri" w:hAnsi="Calibri" w:cs="Calibri"/>
                <w:b/>
                <w:bCs/>
                <w:sz w:val="20"/>
                <w:szCs w:val="20"/>
              </w:rPr>
              <w:t>Offered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Refund</w:t>
            </w:r>
            <w:r w:rsidR="00037F9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(Y%)</w:t>
            </w: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per FCP Package Size</w:t>
            </w:r>
            <w:r w:rsidR="007536E2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  <w:p w:rsidR="00822885" w:rsidRPr="00163D02" w:rsidRDefault="00822885" w:rsidP="000838C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34DC0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Percentage is Static</w:t>
            </w:r>
            <w:r w:rsidR="007536E2" w:rsidRPr="00712AE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7536E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and is a percentage of </w:t>
            </w:r>
            <w:r w:rsidR="000838CE">
              <w:rPr>
                <w:rFonts w:ascii="Calibri" w:hAnsi="Calibri" w:cs="Calibri"/>
                <w:b/>
                <w:bCs/>
                <w:sz w:val="20"/>
                <w:szCs w:val="20"/>
              </w:rPr>
              <w:t>non-</w:t>
            </w:r>
            <w:r w:rsidR="007536E2">
              <w:rPr>
                <w:rFonts w:ascii="Calibri" w:hAnsi="Calibri" w:cs="Calibri"/>
                <w:b/>
                <w:bCs/>
                <w:sz w:val="20"/>
                <w:szCs w:val="20"/>
              </w:rPr>
              <w:t>FAMP (</w:t>
            </w:r>
            <w:r w:rsidR="000838CE">
              <w:rPr>
                <w:rFonts w:ascii="Calibri" w:hAnsi="Calibri" w:cs="Calibri"/>
                <w:b/>
                <w:bCs/>
                <w:sz w:val="20"/>
                <w:szCs w:val="20"/>
              </w:rPr>
              <w:t>non-</w:t>
            </w:r>
            <w:r w:rsidR="007536E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FAMP*</w:t>
            </w: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Y%</w:t>
            </w:r>
            <w:r w:rsidR="007536E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Total </w:t>
            </w:r>
            <w:r w:rsidR="00804D29">
              <w:rPr>
                <w:rFonts w:ascii="Calibri" w:hAnsi="Calibri" w:cs="Calibri"/>
                <w:b/>
                <w:bCs/>
                <w:sz w:val="20"/>
                <w:szCs w:val="20"/>
              </w:rPr>
              <w:t>C</w:t>
            </w:r>
            <w:r w:rsidR="00712AE1">
              <w:rPr>
                <w:rFonts w:ascii="Calibri" w:hAnsi="Calibri" w:cs="Calibri"/>
                <w:b/>
                <w:bCs/>
                <w:sz w:val="20"/>
                <w:szCs w:val="20"/>
              </w:rPr>
              <w:t>alculated</w:t>
            </w: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Retail Refund per FCP Package Size</w:t>
            </w:r>
            <w:r w:rsidR="008C23CD">
              <w:rPr>
                <w:rFonts w:ascii="Calibri" w:hAnsi="Calibri" w:cs="Calibri"/>
                <w:b/>
                <w:bCs/>
                <w:sz w:val="20"/>
                <w:szCs w:val="20"/>
              </w:rPr>
              <w:t>**</w:t>
            </w:r>
          </w:p>
          <w:p w:rsidR="00822885" w:rsidRDefault="007536E2" w:rsidP="000838C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((</w:t>
            </w:r>
            <w:r w:rsidR="000838C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non-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FAMP – FCP )</w:t>
            </w:r>
            <w:r w:rsidR="00822885"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+ (</w:t>
            </w:r>
            <w:r w:rsidR="000838C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non-</w:t>
            </w:r>
            <w:r w:rsidR="00822885"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FAMP *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Y%</w:t>
            </w:r>
            <w:r w:rsidR="00822885"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)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)</w:t>
            </w:r>
            <w:r w:rsidR="00822885"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= Total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Calculated Refund</w:t>
            </w:r>
            <w:r w:rsidR="00712AE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E04CD3" w:rsidRPr="00163D02" w:rsidRDefault="00E04CD3" w:rsidP="000838C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153AD" w:rsidRPr="00E04CD3" w:rsidTr="008A0AC3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3AD" w:rsidRPr="00822885" w:rsidRDefault="00B153AD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ermStart w:id="1296195094" w:edGrp="everyone" w:colFirst="3" w:colLast="3"/>
            <w:permStart w:id="314776290" w:edGrp="everyone" w:colFirst="4" w:colLast="4"/>
            <w:permStart w:id="183529986" w:edGrp="everyone" w:colFirst="5" w:colLast="5"/>
            <w:permStart w:id="711282113" w:edGrp="everyone" w:colFirst="6" w:colLast="6"/>
            <w:permStart w:id="1665078108" w:edGrp="everyone" w:colFirst="7" w:colLast="7"/>
            <w:r>
              <w:rPr>
                <w:rFonts w:ascii="Arial" w:hAnsi="Arial" w:cs="Arial"/>
                <w:b/>
                <w:sz w:val="20"/>
                <w:szCs w:val="20"/>
              </w:rPr>
              <w:t>163RACOG1T2AS1</w:t>
            </w:r>
            <w:r w:rsidRPr="003D25B5">
              <w:rPr>
                <w:rFonts w:ascii="Arial" w:hAnsi="Arial" w:cs="Arial"/>
                <w:b/>
                <w:sz w:val="20"/>
                <w:szCs w:val="20"/>
              </w:rPr>
              <w:t>M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153AD" w:rsidRPr="00822885" w:rsidRDefault="00B153AD" w:rsidP="00B153A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Tier 2 </w:t>
            </w:r>
            <w:r w:rsidRPr="00D30E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After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30E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Step Therapy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3AD" w:rsidRPr="00822885" w:rsidRDefault="00B153AD" w:rsidP="00943BC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or more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3AD" w:rsidRPr="00822885" w:rsidRDefault="00B153AD" w:rsidP="00943BC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3AD" w:rsidRPr="00822885" w:rsidRDefault="00B153AD" w:rsidP="00943BC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3AD" w:rsidRPr="00E04CD3" w:rsidRDefault="00B153AD" w:rsidP="00943BC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04CD3">
              <w:rPr>
                <w:rFonts w:ascii="Calibri" w:hAnsi="Calibri"/>
                <w:sz w:val="20"/>
                <w:szCs w:val="20"/>
              </w:rPr>
              <w:t>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3AD" w:rsidRPr="00E04CD3" w:rsidRDefault="00B153AD" w:rsidP="00943BC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04CD3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3AD" w:rsidRPr="00E04CD3" w:rsidRDefault="00B153AD" w:rsidP="00943BC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04CD3">
              <w:rPr>
                <w:rFonts w:ascii="Calibri" w:hAnsi="Calibri"/>
                <w:sz w:val="20"/>
                <w:szCs w:val="20"/>
              </w:rPr>
              <w:t>$</w:t>
            </w:r>
            <w:bookmarkStart w:id="0" w:name="_GoBack"/>
            <w:bookmarkEnd w:id="0"/>
          </w:p>
        </w:tc>
      </w:tr>
      <w:permEnd w:id="1296195094"/>
      <w:permEnd w:id="314776290"/>
      <w:permEnd w:id="183529986"/>
      <w:permEnd w:id="711282113"/>
      <w:permEnd w:id="1665078108"/>
      <w:tr w:rsidR="00712AE1" w:rsidRPr="00822885" w:rsidTr="00C42C40">
        <w:trPr>
          <w:trHeight w:val="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871CF4" w:rsidRPr="00822885" w:rsidRDefault="00871CF4" w:rsidP="008A0A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bottom"/>
          </w:tcPr>
          <w:p w:rsidR="00871CF4" w:rsidRPr="00822885" w:rsidRDefault="00871CF4" w:rsidP="008A0AC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871CF4" w:rsidRPr="00822885" w:rsidRDefault="00871CF4" w:rsidP="008A0AC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871CF4" w:rsidRDefault="00871CF4" w:rsidP="008A0AC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871CF4" w:rsidRDefault="00871CF4" w:rsidP="008A0AC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871CF4" w:rsidRDefault="00871CF4" w:rsidP="008A0AC3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871CF4" w:rsidRDefault="00871CF4" w:rsidP="008A0AC3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871CF4" w:rsidRDefault="00871CF4" w:rsidP="008A0AC3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</w:tr>
    </w:tbl>
    <w:p w:rsidR="003D2B9E" w:rsidRDefault="003D2B9E" w:rsidP="00BC06B8">
      <w:pPr>
        <w:rPr>
          <w:rFonts w:ascii="Arial" w:hAnsi="Arial" w:cs="Arial"/>
          <w:b/>
          <w:sz w:val="18"/>
          <w:szCs w:val="18"/>
        </w:rPr>
      </w:pPr>
    </w:p>
    <w:p w:rsidR="00D74E98" w:rsidRPr="00582491" w:rsidRDefault="003A45CB" w:rsidP="00BC06B8">
      <w:pPr>
        <w:rPr>
          <w:rFonts w:ascii="Arial" w:hAnsi="Arial" w:cs="Arial"/>
          <w:b/>
          <w:bCs/>
          <w:color w:val="000000"/>
          <w:sz w:val="18"/>
          <w:szCs w:val="18"/>
        </w:rPr>
      </w:pPr>
      <w:r w:rsidRPr="00582491">
        <w:rPr>
          <w:rFonts w:ascii="Arial" w:hAnsi="Arial" w:cs="Arial"/>
          <w:b/>
          <w:sz w:val="18"/>
          <w:szCs w:val="18"/>
        </w:rPr>
        <w:t>*</w:t>
      </w:r>
      <w:r w:rsidRPr="00582491">
        <w:rPr>
          <w:rFonts w:ascii="Arial" w:hAnsi="Arial" w:cs="Arial"/>
          <w:b/>
          <w:bCs/>
          <w:color w:val="000000"/>
          <w:sz w:val="18"/>
          <w:szCs w:val="18"/>
        </w:rPr>
        <w:t xml:space="preserve"> Only one price per category may be submitted.</w:t>
      </w:r>
    </w:p>
    <w:p w:rsidR="00D74E98" w:rsidRPr="00822885" w:rsidRDefault="00582491" w:rsidP="00822885">
      <w:pPr>
        <w:rPr>
          <w:rFonts w:ascii="Arial" w:hAnsi="Arial" w:cs="Arial"/>
          <w:b/>
          <w:sz w:val="20"/>
          <w:szCs w:val="20"/>
        </w:rPr>
      </w:pPr>
      <w:r w:rsidRPr="00582491">
        <w:rPr>
          <w:rFonts w:ascii="Arial" w:hAnsi="Arial" w:cs="Arial"/>
          <w:b/>
          <w:sz w:val="18"/>
          <w:szCs w:val="18"/>
        </w:rPr>
        <w:t xml:space="preserve">** Based on the most recent annual non-FAMP (reported to the Department of Veterans Affairs) from which the current annual Federal Ceiling Price </w:t>
      </w:r>
      <w:r w:rsidR="00CE2386">
        <w:rPr>
          <w:rFonts w:ascii="Arial" w:hAnsi="Arial" w:cs="Arial"/>
          <w:b/>
          <w:sz w:val="18"/>
          <w:szCs w:val="18"/>
        </w:rPr>
        <w:t xml:space="preserve">(FCP) </w:t>
      </w:r>
      <w:r w:rsidRPr="00582491">
        <w:rPr>
          <w:rFonts w:ascii="Arial" w:hAnsi="Arial" w:cs="Arial"/>
          <w:b/>
          <w:sz w:val="18"/>
          <w:szCs w:val="18"/>
        </w:rPr>
        <w:t>calculated ceiling is derived. The current annual FCP and the annual non-FAMP from which it is derived will be applicable to all prescriptions filled during a calendar year. The quoted additional refund percentage will remain static during the life of the agreement but the most recent annual non-FAMP, and thus the calculated refund, may change each calendar year.</w:t>
      </w:r>
    </w:p>
    <w:sectPr w:rsidR="00D74E98" w:rsidRPr="00822885" w:rsidSect="00B05F99">
      <w:headerReference w:type="default" r:id="rId9"/>
      <w:footerReference w:type="default" r:id="rId10"/>
      <w:pgSz w:w="12240" w:h="15840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24C" w:rsidRDefault="00E0224C">
      <w:r>
        <w:separator/>
      </w:r>
    </w:p>
  </w:endnote>
  <w:endnote w:type="continuationSeparator" w:id="0">
    <w:p w:rsidR="00E0224C" w:rsidRDefault="00E02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491" w:rsidRPr="00916F7D" w:rsidRDefault="00582491">
    <w:pPr>
      <w:pStyle w:val="Footer"/>
      <w:jc w:val="center"/>
      <w:rPr>
        <w:rFonts w:ascii="Arial" w:hAnsi="Arial" w:cs="Arial"/>
        <w:sz w:val="20"/>
      </w:rPr>
    </w:pPr>
    <w:r w:rsidRPr="00916F7D">
      <w:rPr>
        <w:rFonts w:ascii="Arial" w:hAnsi="Arial" w:cs="Arial"/>
        <w:sz w:val="20"/>
      </w:rPr>
      <w:fldChar w:fldCharType="begin"/>
    </w:r>
    <w:r w:rsidRPr="00916F7D">
      <w:rPr>
        <w:rFonts w:ascii="Arial" w:hAnsi="Arial" w:cs="Arial"/>
        <w:sz w:val="20"/>
      </w:rPr>
      <w:instrText xml:space="preserve"> PAGE   \* MERGEFORMAT </w:instrText>
    </w:r>
    <w:r w:rsidRPr="00916F7D">
      <w:rPr>
        <w:rFonts w:ascii="Arial" w:hAnsi="Arial" w:cs="Arial"/>
        <w:sz w:val="20"/>
      </w:rPr>
      <w:fldChar w:fldCharType="separate"/>
    </w:r>
    <w:r w:rsidR="00941167">
      <w:rPr>
        <w:rFonts w:ascii="Arial" w:hAnsi="Arial" w:cs="Arial"/>
        <w:noProof/>
        <w:sz w:val="20"/>
      </w:rPr>
      <w:t>1</w:t>
    </w:r>
    <w:r w:rsidRPr="00916F7D">
      <w:rPr>
        <w:rFonts w:ascii="Arial" w:hAnsi="Arial" w:cs="Arial"/>
        <w:noProof/>
        <w:sz w:val="20"/>
      </w:rPr>
      <w:fldChar w:fldCharType="end"/>
    </w:r>
  </w:p>
  <w:p w:rsidR="00582491" w:rsidRDefault="005824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24C" w:rsidRDefault="00E0224C">
      <w:r>
        <w:separator/>
      </w:r>
    </w:p>
  </w:footnote>
  <w:footnote w:type="continuationSeparator" w:id="0">
    <w:p w:rsidR="00E0224C" w:rsidRDefault="00E022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F99" w:rsidRPr="00B05F99" w:rsidRDefault="00B05F99" w:rsidP="00B05F99">
    <w:pPr>
      <w:pStyle w:val="Header"/>
      <w:tabs>
        <w:tab w:val="clear" w:pos="8640"/>
        <w:tab w:val="right" w:pos="10800"/>
      </w:tabs>
      <w:rPr>
        <w:rFonts w:ascii="Arial" w:hAnsi="Arial" w:cs="Arial"/>
        <w:sz w:val="20"/>
        <w:szCs w:val="20"/>
      </w:rPr>
    </w:pPr>
    <w:r>
      <w:tab/>
    </w:r>
    <w:r>
      <w:tab/>
    </w:r>
    <w:r w:rsidRPr="00B05F99">
      <w:rPr>
        <w:rFonts w:ascii="Arial" w:hAnsi="Arial" w:cs="Arial"/>
        <w:sz w:val="20"/>
        <w:szCs w:val="20"/>
      </w:rPr>
      <w:t>RFQ # HT9402-16-Q-0002</w:t>
    </w:r>
  </w:p>
  <w:p w:rsidR="00B05F99" w:rsidRDefault="00B05F9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D447B"/>
    <w:multiLevelType w:val="multilevel"/>
    <w:tmpl w:val="EBAE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E1101E"/>
    <w:multiLevelType w:val="multilevel"/>
    <w:tmpl w:val="B4EE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A9268E"/>
    <w:multiLevelType w:val="multilevel"/>
    <w:tmpl w:val="B8B47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9D2A40"/>
    <w:multiLevelType w:val="multilevel"/>
    <w:tmpl w:val="23EA2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8E28AB"/>
    <w:multiLevelType w:val="multilevel"/>
    <w:tmpl w:val="B4EE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E83CB1"/>
    <w:multiLevelType w:val="hybridMultilevel"/>
    <w:tmpl w:val="25D48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A06556"/>
    <w:multiLevelType w:val="multilevel"/>
    <w:tmpl w:val="B4EE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9E7F23"/>
    <w:multiLevelType w:val="multilevel"/>
    <w:tmpl w:val="6890E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7B28F0"/>
    <w:multiLevelType w:val="hybridMultilevel"/>
    <w:tmpl w:val="B25056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9086FC4"/>
    <w:multiLevelType w:val="multilevel"/>
    <w:tmpl w:val="282A325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9"/>
  </w:num>
  <w:num w:numId="6">
    <w:abstractNumId w:val="7"/>
  </w:num>
  <w:num w:numId="7">
    <w:abstractNumId w:val="8"/>
  </w:num>
  <w:num w:numId="8">
    <w:abstractNumId w:val="6"/>
  </w:num>
  <w:num w:numId="9">
    <w:abstractNumId w:val="1"/>
  </w:num>
  <w:num w:numId="10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Ue4gjm9JXLrGRBSNinQ2DCnCJPc=" w:salt="veG6poW6fv3bqPoBjDKY0g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62F"/>
    <w:rsid w:val="000021CD"/>
    <w:rsid w:val="000113E4"/>
    <w:rsid w:val="00012BB1"/>
    <w:rsid w:val="00012EE4"/>
    <w:rsid w:val="000149D4"/>
    <w:rsid w:val="0001685C"/>
    <w:rsid w:val="00020C72"/>
    <w:rsid w:val="0003069F"/>
    <w:rsid w:val="00032543"/>
    <w:rsid w:val="00035A38"/>
    <w:rsid w:val="00037F91"/>
    <w:rsid w:val="0004175D"/>
    <w:rsid w:val="00050E7F"/>
    <w:rsid w:val="00050FCA"/>
    <w:rsid w:val="0006562F"/>
    <w:rsid w:val="00066CCB"/>
    <w:rsid w:val="00067F4E"/>
    <w:rsid w:val="00073DC4"/>
    <w:rsid w:val="000815BB"/>
    <w:rsid w:val="000838CE"/>
    <w:rsid w:val="00086F50"/>
    <w:rsid w:val="000962CF"/>
    <w:rsid w:val="00096318"/>
    <w:rsid w:val="00096F3F"/>
    <w:rsid w:val="000971DF"/>
    <w:rsid w:val="000A0A56"/>
    <w:rsid w:val="000B09C8"/>
    <w:rsid w:val="000B1705"/>
    <w:rsid w:val="000B1AF5"/>
    <w:rsid w:val="000B33C7"/>
    <w:rsid w:val="000C383A"/>
    <w:rsid w:val="000C4912"/>
    <w:rsid w:val="000D2B30"/>
    <w:rsid w:val="000D2E3A"/>
    <w:rsid w:val="000F1028"/>
    <w:rsid w:val="000F10E2"/>
    <w:rsid w:val="000F204A"/>
    <w:rsid w:val="000F6EE2"/>
    <w:rsid w:val="000F7AC6"/>
    <w:rsid w:val="001013CC"/>
    <w:rsid w:val="001073B8"/>
    <w:rsid w:val="00114D1E"/>
    <w:rsid w:val="001339FD"/>
    <w:rsid w:val="00134F32"/>
    <w:rsid w:val="00135F85"/>
    <w:rsid w:val="0013633B"/>
    <w:rsid w:val="00136E8C"/>
    <w:rsid w:val="00142D75"/>
    <w:rsid w:val="00143E1C"/>
    <w:rsid w:val="001450A6"/>
    <w:rsid w:val="00145D1C"/>
    <w:rsid w:val="00154D6E"/>
    <w:rsid w:val="001553FD"/>
    <w:rsid w:val="00155D34"/>
    <w:rsid w:val="00157CFD"/>
    <w:rsid w:val="001613F6"/>
    <w:rsid w:val="00163D02"/>
    <w:rsid w:val="001724A6"/>
    <w:rsid w:val="00173EF8"/>
    <w:rsid w:val="0017646A"/>
    <w:rsid w:val="001804D8"/>
    <w:rsid w:val="0018546B"/>
    <w:rsid w:val="00185DE4"/>
    <w:rsid w:val="00187A7F"/>
    <w:rsid w:val="00190A2E"/>
    <w:rsid w:val="00192788"/>
    <w:rsid w:val="00197693"/>
    <w:rsid w:val="001A391B"/>
    <w:rsid w:val="001B188C"/>
    <w:rsid w:val="001B24E1"/>
    <w:rsid w:val="001B5377"/>
    <w:rsid w:val="001C172E"/>
    <w:rsid w:val="001C42B7"/>
    <w:rsid w:val="001C7C2E"/>
    <w:rsid w:val="001D0D6D"/>
    <w:rsid w:val="001D19BB"/>
    <w:rsid w:val="001D34CF"/>
    <w:rsid w:val="001D3DEC"/>
    <w:rsid w:val="001D60E6"/>
    <w:rsid w:val="001D69F8"/>
    <w:rsid w:val="001E00E7"/>
    <w:rsid w:val="001E189B"/>
    <w:rsid w:val="001E1EC4"/>
    <w:rsid w:val="001E2AA7"/>
    <w:rsid w:val="001E52D2"/>
    <w:rsid w:val="001E7407"/>
    <w:rsid w:val="001F3E71"/>
    <w:rsid w:val="001F70B9"/>
    <w:rsid w:val="002016F6"/>
    <w:rsid w:val="00201816"/>
    <w:rsid w:val="002047C1"/>
    <w:rsid w:val="0021344F"/>
    <w:rsid w:val="002153D1"/>
    <w:rsid w:val="00220ACB"/>
    <w:rsid w:val="00227DE0"/>
    <w:rsid w:val="00230803"/>
    <w:rsid w:val="00233085"/>
    <w:rsid w:val="00234332"/>
    <w:rsid w:val="00234470"/>
    <w:rsid w:val="00234DC0"/>
    <w:rsid w:val="00236B90"/>
    <w:rsid w:val="002411FE"/>
    <w:rsid w:val="00244713"/>
    <w:rsid w:val="00252B79"/>
    <w:rsid w:val="002541FF"/>
    <w:rsid w:val="002554E9"/>
    <w:rsid w:val="00260F43"/>
    <w:rsid w:val="00261547"/>
    <w:rsid w:val="002625BA"/>
    <w:rsid w:val="00267352"/>
    <w:rsid w:val="00270C20"/>
    <w:rsid w:val="00271E40"/>
    <w:rsid w:val="00275C6A"/>
    <w:rsid w:val="00276B0A"/>
    <w:rsid w:val="00280768"/>
    <w:rsid w:val="00280769"/>
    <w:rsid w:val="0028371D"/>
    <w:rsid w:val="002848DD"/>
    <w:rsid w:val="0028551A"/>
    <w:rsid w:val="00287E53"/>
    <w:rsid w:val="0029161E"/>
    <w:rsid w:val="00296E52"/>
    <w:rsid w:val="002A2038"/>
    <w:rsid w:val="002A31E2"/>
    <w:rsid w:val="002A6539"/>
    <w:rsid w:val="002A66AE"/>
    <w:rsid w:val="002B02D5"/>
    <w:rsid w:val="002B0AEB"/>
    <w:rsid w:val="002B1C54"/>
    <w:rsid w:val="002B6224"/>
    <w:rsid w:val="002C168B"/>
    <w:rsid w:val="002C2E09"/>
    <w:rsid w:val="002E043D"/>
    <w:rsid w:val="002E23C7"/>
    <w:rsid w:val="002F0987"/>
    <w:rsid w:val="002F193A"/>
    <w:rsid w:val="002F2362"/>
    <w:rsid w:val="002F36DC"/>
    <w:rsid w:val="002F5EC6"/>
    <w:rsid w:val="0030356A"/>
    <w:rsid w:val="00307BBE"/>
    <w:rsid w:val="00315958"/>
    <w:rsid w:val="0032088E"/>
    <w:rsid w:val="00320F5F"/>
    <w:rsid w:val="0033031E"/>
    <w:rsid w:val="00332F96"/>
    <w:rsid w:val="00333CE0"/>
    <w:rsid w:val="0033692A"/>
    <w:rsid w:val="00336F4F"/>
    <w:rsid w:val="00336F55"/>
    <w:rsid w:val="0033770C"/>
    <w:rsid w:val="00344311"/>
    <w:rsid w:val="00352C90"/>
    <w:rsid w:val="00354167"/>
    <w:rsid w:val="003546DF"/>
    <w:rsid w:val="00357C60"/>
    <w:rsid w:val="00361093"/>
    <w:rsid w:val="00362449"/>
    <w:rsid w:val="003633D4"/>
    <w:rsid w:val="00363EF0"/>
    <w:rsid w:val="00372ADF"/>
    <w:rsid w:val="003767BA"/>
    <w:rsid w:val="00376805"/>
    <w:rsid w:val="0037765B"/>
    <w:rsid w:val="00381688"/>
    <w:rsid w:val="00383EC3"/>
    <w:rsid w:val="0038592B"/>
    <w:rsid w:val="003A1085"/>
    <w:rsid w:val="003A45CB"/>
    <w:rsid w:val="003B245A"/>
    <w:rsid w:val="003C653D"/>
    <w:rsid w:val="003C689F"/>
    <w:rsid w:val="003D1811"/>
    <w:rsid w:val="003D25B5"/>
    <w:rsid w:val="003D2B9E"/>
    <w:rsid w:val="003D3E11"/>
    <w:rsid w:val="003D426C"/>
    <w:rsid w:val="003D5F64"/>
    <w:rsid w:val="003E03E2"/>
    <w:rsid w:val="003E56BC"/>
    <w:rsid w:val="003F68EB"/>
    <w:rsid w:val="00401E1C"/>
    <w:rsid w:val="00412E6A"/>
    <w:rsid w:val="004230D6"/>
    <w:rsid w:val="004261B1"/>
    <w:rsid w:val="00426B26"/>
    <w:rsid w:val="00426F09"/>
    <w:rsid w:val="004339A5"/>
    <w:rsid w:val="00433FB6"/>
    <w:rsid w:val="00437054"/>
    <w:rsid w:val="00444440"/>
    <w:rsid w:val="00447D71"/>
    <w:rsid w:val="00450F64"/>
    <w:rsid w:val="00451164"/>
    <w:rsid w:val="004654D6"/>
    <w:rsid w:val="00465583"/>
    <w:rsid w:val="0046662F"/>
    <w:rsid w:val="00470F6A"/>
    <w:rsid w:val="00474D10"/>
    <w:rsid w:val="00480153"/>
    <w:rsid w:val="00480700"/>
    <w:rsid w:val="0048463E"/>
    <w:rsid w:val="004859C0"/>
    <w:rsid w:val="0049504E"/>
    <w:rsid w:val="004A22E2"/>
    <w:rsid w:val="004A4520"/>
    <w:rsid w:val="004A519E"/>
    <w:rsid w:val="004B207D"/>
    <w:rsid w:val="004C2BBF"/>
    <w:rsid w:val="004C6C0E"/>
    <w:rsid w:val="004C6FF9"/>
    <w:rsid w:val="004D11ED"/>
    <w:rsid w:val="004D3D44"/>
    <w:rsid w:val="004D56EE"/>
    <w:rsid w:val="004D7780"/>
    <w:rsid w:val="004E43C2"/>
    <w:rsid w:val="004E66FF"/>
    <w:rsid w:val="004F6814"/>
    <w:rsid w:val="00503713"/>
    <w:rsid w:val="00503EFA"/>
    <w:rsid w:val="005073E9"/>
    <w:rsid w:val="00507E18"/>
    <w:rsid w:val="00510903"/>
    <w:rsid w:val="005112D4"/>
    <w:rsid w:val="00516FBC"/>
    <w:rsid w:val="00527254"/>
    <w:rsid w:val="0053194F"/>
    <w:rsid w:val="00537C9F"/>
    <w:rsid w:val="005460C8"/>
    <w:rsid w:val="005505DB"/>
    <w:rsid w:val="00555A23"/>
    <w:rsid w:val="00561121"/>
    <w:rsid w:val="00563078"/>
    <w:rsid w:val="0057462E"/>
    <w:rsid w:val="0057502D"/>
    <w:rsid w:val="005771E6"/>
    <w:rsid w:val="00577E38"/>
    <w:rsid w:val="005802BE"/>
    <w:rsid w:val="00582491"/>
    <w:rsid w:val="0058609C"/>
    <w:rsid w:val="00590A83"/>
    <w:rsid w:val="00590E21"/>
    <w:rsid w:val="005941CD"/>
    <w:rsid w:val="005947AA"/>
    <w:rsid w:val="0059663C"/>
    <w:rsid w:val="005971D4"/>
    <w:rsid w:val="00597CA1"/>
    <w:rsid w:val="005A2B44"/>
    <w:rsid w:val="005A4684"/>
    <w:rsid w:val="005B128A"/>
    <w:rsid w:val="005B6A5A"/>
    <w:rsid w:val="005C1946"/>
    <w:rsid w:val="005C307C"/>
    <w:rsid w:val="005C60AB"/>
    <w:rsid w:val="005C634A"/>
    <w:rsid w:val="005C6D0F"/>
    <w:rsid w:val="005D2F38"/>
    <w:rsid w:val="005D39AA"/>
    <w:rsid w:val="005D4370"/>
    <w:rsid w:val="005D4F9E"/>
    <w:rsid w:val="005E0BF8"/>
    <w:rsid w:val="005E3203"/>
    <w:rsid w:val="005E4A87"/>
    <w:rsid w:val="005F1293"/>
    <w:rsid w:val="005F3320"/>
    <w:rsid w:val="005F34AE"/>
    <w:rsid w:val="005F697E"/>
    <w:rsid w:val="005F7222"/>
    <w:rsid w:val="00601E1F"/>
    <w:rsid w:val="00605F72"/>
    <w:rsid w:val="006060BC"/>
    <w:rsid w:val="00611F3B"/>
    <w:rsid w:val="00631081"/>
    <w:rsid w:val="00633221"/>
    <w:rsid w:val="00642BFC"/>
    <w:rsid w:val="00643BA7"/>
    <w:rsid w:val="00646B29"/>
    <w:rsid w:val="00651D54"/>
    <w:rsid w:val="006528EF"/>
    <w:rsid w:val="0065769C"/>
    <w:rsid w:val="006579FD"/>
    <w:rsid w:val="00664A13"/>
    <w:rsid w:val="006678D2"/>
    <w:rsid w:val="00670119"/>
    <w:rsid w:val="00670420"/>
    <w:rsid w:val="00673B71"/>
    <w:rsid w:val="00681613"/>
    <w:rsid w:val="006825BA"/>
    <w:rsid w:val="0069420B"/>
    <w:rsid w:val="0069718B"/>
    <w:rsid w:val="006A2AF5"/>
    <w:rsid w:val="006A4B2A"/>
    <w:rsid w:val="006A4D3B"/>
    <w:rsid w:val="006A7853"/>
    <w:rsid w:val="006B4297"/>
    <w:rsid w:val="006B4EE1"/>
    <w:rsid w:val="006B56FD"/>
    <w:rsid w:val="006C0F34"/>
    <w:rsid w:val="006C7581"/>
    <w:rsid w:val="006D112C"/>
    <w:rsid w:val="006D15DE"/>
    <w:rsid w:val="006D21BA"/>
    <w:rsid w:val="006D23DD"/>
    <w:rsid w:val="006D6426"/>
    <w:rsid w:val="006D67DF"/>
    <w:rsid w:val="006E236F"/>
    <w:rsid w:val="006E2A83"/>
    <w:rsid w:val="006E3916"/>
    <w:rsid w:val="006E41C5"/>
    <w:rsid w:val="006E479F"/>
    <w:rsid w:val="006E4A34"/>
    <w:rsid w:val="006E6D0D"/>
    <w:rsid w:val="006E7583"/>
    <w:rsid w:val="006F11A6"/>
    <w:rsid w:val="006F58B5"/>
    <w:rsid w:val="00702D3F"/>
    <w:rsid w:val="00704A0A"/>
    <w:rsid w:val="00712AE1"/>
    <w:rsid w:val="00715F76"/>
    <w:rsid w:val="00716408"/>
    <w:rsid w:val="007167F2"/>
    <w:rsid w:val="00717514"/>
    <w:rsid w:val="007215BC"/>
    <w:rsid w:val="00727747"/>
    <w:rsid w:val="0073144E"/>
    <w:rsid w:val="00731536"/>
    <w:rsid w:val="00731A13"/>
    <w:rsid w:val="007329FD"/>
    <w:rsid w:val="00735EA1"/>
    <w:rsid w:val="00736D8A"/>
    <w:rsid w:val="007372B7"/>
    <w:rsid w:val="007459CD"/>
    <w:rsid w:val="007536A7"/>
    <w:rsid w:val="007536E2"/>
    <w:rsid w:val="00755A31"/>
    <w:rsid w:val="00757B06"/>
    <w:rsid w:val="00763906"/>
    <w:rsid w:val="00770D08"/>
    <w:rsid w:val="0078101B"/>
    <w:rsid w:val="007831A6"/>
    <w:rsid w:val="00783E76"/>
    <w:rsid w:val="00786F8A"/>
    <w:rsid w:val="00792C69"/>
    <w:rsid w:val="00794D57"/>
    <w:rsid w:val="007A17CB"/>
    <w:rsid w:val="007A4A4E"/>
    <w:rsid w:val="007A718B"/>
    <w:rsid w:val="007B21B9"/>
    <w:rsid w:val="007B716D"/>
    <w:rsid w:val="007C7AE4"/>
    <w:rsid w:val="007C7B2F"/>
    <w:rsid w:val="007D3425"/>
    <w:rsid w:val="007D3476"/>
    <w:rsid w:val="007D7D1C"/>
    <w:rsid w:val="007E0CED"/>
    <w:rsid w:val="007E5A39"/>
    <w:rsid w:val="007E6A62"/>
    <w:rsid w:val="007E79E8"/>
    <w:rsid w:val="007F1FB6"/>
    <w:rsid w:val="007F2DA4"/>
    <w:rsid w:val="007F4B98"/>
    <w:rsid w:val="00802DDD"/>
    <w:rsid w:val="00803201"/>
    <w:rsid w:val="00803BDF"/>
    <w:rsid w:val="0080445A"/>
    <w:rsid w:val="00804D29"/>
    <w:rsid w:val="008063E2"/>
    <w:rsid w:val="00806813"/>
    <w:rsid w:val="0080723E"/>
    <w:rsid w:val="00813E4A"/>
    <w:rsid w:val="00814066"/>
    <w:rsid w:val="00816455"/>
    <w:rsid w:val="0082265F"/>
    <w:rsid w:val="00822885"/>
    <w:rsid w:val="008311C1"/>
    <w:rsid w:val="00833649"/>
    <w:rsid w:val="00834FD7"/>
    <w:rsid w:val="0084652B"/>
    <w:rsid w:val="00850A4B"/>
    <w:rsid w:val="008519A3"/>
    <w:rsid w:val="008525C8"/>
    <w:rsid w:val="0085321C"/>
    <w:rsid w:val="00863BF3"/>
    <w:rsid w:val="008665CF"/>
    <w:rsid w:val="008710F4"/>
    <w:rsid w:val="00871CF4"/>
    <w:rsid w:val="008727F0"/>
    <w:rsid w:val="00875598"/>
    <w:rsid w:val="0087719E"/>
    <w:rsid w:val="0087745A"/>
    <w:rsid w:val="00877608"/>
    <w:rsid w:val="00880036"/>
    <w:rsid w:val="008850A3"/>
    <w:rsid w:val="00886DAF"/>
    <w:rsid w:val="00887F0D"/>
    <w:rsid w:val="00891A4E"/>
    <w:rsid w:val="008A2A47"/>
    <w:rsid w:val="008A2EC4"/>
    <w:rsid w:val="008A65EE"/>
    <w:rsid w:val="008A71C8"/>
    <w:rsid w:val="008A7797"/>
    <w:rsid w:val="008B0162"/>
    <w:rsid w:val="008B208D"/>
    <w:rsid w:val="008B3236"/>
    <w:rsid w:val="008B4B28"/>
    <w:rsid w:val="008B514E"/>
    <w:rsid w:val="008C059A"/>
    <w:rsid w:val="008C23CD"/>
    <w:rsid w:val="008C42E6"/>
    <w:rsid w:val="008C6FCD"/>
    <w:rsid w:val="008C7E94"/>
    <w:rsid w:val="008D279E"/>
    <w:rsid w:val="008D2FEE"/>
    <w:rsid w:val="008D3BE3"/>
    <w:rsid w:val="008E09A6"/>
    <w:rsid w:val="008E0EE4"/>
    <w:rsid w:val="008E17F2"/>
    <w:rsid w:val="008E2C8A"/>
    <w:rsid w:val="008E3A65"/>
    <w:rsid w:val="008E4758"/>
    <w:rsid w:val="008E696E"/>
    <w:rsid w:val="008F071F"/>
    <w:rsid w:val="008F3960"/>
    <w:rsid w:val="008F58EF"/>
    <w:rsid w:val="009013FA"/>
    <w:rsid w:val="0090783F"/>
    <w:rsid w:val="0091194B"/>
    <w:rsid w:val="009120D6"/>
    <w:rsid w:val="009125C1"/>
    <w:rsid w:val="00912CDC"/>
    <w:rsid w:val="00913341"/>
    <w:rsid w:val="0091350C"/>
    <w:rsid w:val="009169B1"/>
    <w:rsid w:val="00916F7D"/>
    <w:rsid w:val="00920A75"/>
    <w:rsid w:val="009269A9"/>
    <w:rsid w:val="00927AFB"/>
    <w:rsid w:val="00935339"/>
    <w:rsid w:val="00941167"/>
    <w:rsid w:val="009411DE"/>
    <w:rsid w:val="0094467C"/>
    <w:rsid w:val="00944D07"/>
    <w:rsid w:val="009460EF"/>
    <w:rsid w:val="00953793"/>
    <w:rsid w:val="00957317"/>
    <w:rsid w:val="00957D24"/>
    <w:rsid w:val="00962813"/>
    <w:rsid w:val="0096728C"/>
    <w:rsid w:val="00970ECD"/>
    <w:rsid w:val="009715DC"/>
    <w:rsid w:val="009761D0"/>
    <w:rsid w:val="009762E2"/>
    <w:rsid w:val="0098152C"/>
    <w:rsid w:val="00982F5A"/>
    <w:rsid w:val="0098314E"/>
    <w:rsid w:val="00993032"/>
    <w:rsid w:val="00994065"/>
    <w:rsid w:val="009945D7"/>
    <w:rsid w:val="00996346"/>
    <w:rsid w:val="0099723A"/>
    <w:rsid w:val="009A0A9A"/>
    <w:rsid w:val="009A4897"/>
    <w:rsid w:val="009A6065"/>
    <w:rsid w:val="009B4577"/>
    <w:rsid w:val="009C03C9"/>
    <w:rsid w:val="009C530E"/>
    <w:rsid w:val="009C54E2"/>
    <w:rsid w:val="009D0AA0"/>
    <w:rsid w:val="009D483A"/>
    <w:rsid w:val="009D6F8A"/>
    <w:rsid w:val="009D7F27"/>
    <w:rsid w:val="009E17A2"/>
    <w:rsid w:val="009E24A5"/>
    <w:rsid w:val="009E351E"/>
    <w:rsid w:val="009F4ADE"/>
    <w:rsid w:val="009F6320"/>
    <w:rsid w:val="00A00ECB"/>
    <w:rsid w:val="00A01A5B"/>
    <w:rsid w:val="00A04813"/>
    <w:rsid w:val="00A076F6"/>
    <w:rsid w:val="00A102A1"/>
    <w:rsid w:val="00A10BFA"/>
    <w:rsid w:val="00A12622"/>
    <w:rsid w:val="00A145A7"/>
    <w:rsid w:val="00A16E20"/>
    <w:rsid w:val="00A22933"/>
    <w:rsid w:val="00A2679F"/>
    <w:rsid w:val="00A26AD8"/>
    <w:rsid w:val="00A374B1"/>
    <w:rsid w:val="00A40C68"/>
    <w:rsid w:val="00A45CE3"/>
    <w:rsid w:val="00A50C68"/>
    <w:rsid w:val="00A50E7A"/>
    <w:rsid w:val="00A53223"/>
    <w:rsid w:val="00A53365"/>
    <w:rsid w:val="00A545EA"/>
    <w:rsid w:val="00A546C4"/>
    <w:rsid w:val="00A60447"/>
    <w:rsid w:val="00A616EE"/>
    <w:rsid w:val="00A677D1"/>
    <w:rsid w:val="00A7032C"/>
    <w:rsid w:val="00A81EFA"/>
    <w:rsid w:val="00A84592"/>
    <w:rsid w:val="00A863E6"/>
    <w:rsid w:val="00A9137C"/>
    <w:rsid w:val="00AA38F5"/>
    <w:rsid w:val="00AB2778"/>
    <w:rsid w:val="00AB2D14"/>
    <w:rsid w:val="00AB4B28"/>
    <w:rsid w:val="00AB5FBB"/>
    <w:rsid w:val="00AC5B6A"/>
    <w:rsid w:val="00AD3E97"/>
    <w:rsid w:val="00AD4A14"/>
    <w:rsid w:val="00AD5AA5"/>
    <w:rsid w:val="00AD67F6"/>
    <w:rsid w:val="00AD731B"/>
    <w:rsid w:val="00AE07AD"/>
    <w:rsid w:val="00AE1697"/>
    <w:rsid w:val="00AE38E2"/>
    <w:rsid w:val="00AF63B7"/>
    <w:rsid w:val="00B01C84"/>
    <w:rsid w:val="00B055C7"/>
    <w:rsid w:val="00B05F99"/>
    <w:rsid w:val="00B11D5F"/>
    <w:rsid w:val="00B153AD"/>
    <w:rsid w:val="00B17216"/>
    <w:rsid w:val="00B20D0D"/>
    <w:rsid w:val="00B21971"/>
    <w:rsid w:val="00B22888"/>
    <w:rsid w:val="00B24F80"/>
    <w:rsid w:val="00B256C4"/>
    <w:rsid w:val="00B3103A"/>
    <w:rsid w:val="00B31C63"/>
    <w:rsid w:val="00B34D4D"/>
    <w:rsid w:val="00B37AD0"/>
    <w:rsid w:val="00B41EC1"/>
    <w:rsid w:val="00B45A1C"/>
    <w:rsid w:val="00B55465"/>
    <w:rsid w:val="00B63AB2"/>
    <w:rsid w:val="00B646CD"/>
    <w:rsid w:val="00B66E74"/>
    <w:rsid w:val="00B741B7"/>
    <w:rsid w:val="00B8259F"/>
    <w:rsid w:val="00B83F20"/>
    <w:rsid w:val="00B84307"/>
    <w:rsid w:val="00B85A9E"/>
    <w:rsid w:val="00B85EC7"/>
    <w:rsid w:val="00B862CE"/>
    <w:rsid w:val="00B92BAD"/>
    <w:rsid w:val="00B9438B"/>
    <w:rsid w:val="00BA1943"/>
    <w:rsid w:val="00BA3052"/>
    <w:rsid w:val="00BA4860"/>
    <w:rsid w:val="00BA6B40"/>
    <w:rsid w:val="00BA6E47"/>
    <w:rsid w:val="00BB308F"/>
    <w:rsid w:val="00BB3109"/>
    <w:rsid w:val="00BB379F"/>
    <w:rsid w:val="00BB392E"/>
    <w:rsid w:val="00BB6FA1"/>
    <w:rsid w:val="00BB714A"/>
    <w:rsid w:val="00BB751B"/>
    <w:rsid w:val="00BC06B8"/>
    <w:rsid w:val="00BC10FF"/>
    <w:rsid w:val="00BC3744"/>
    <w:rsid w:val="00BC55FA"/>
    <w:rsid w:val="00BD4589"/>
    <w:rsid w:val="00BE4A72"/>
    <w:rsid w:val="00BE4B57"/>
    <w:rsid w:val="00BE771C"/>
    <w:rsid w:val="00BF2F27"/>
    <w:rsid w:val="00BF729F"/>
    <w:rsid w:val="00C077D1"/>
    <w:rsid w:val="00C17B6A"/>
    <w:rsid w:val="00C17DE3"/>
    <w:rsid w:val="00C24B06"/>
    <w:rsid w:val="00C27FD6"/>
    <w:rsid w:val="00C34926"/>
    <w:rsid w:val="00C353C5"/>
    <w:rsid w:val="00C42C40"/>
    <w:rsid w:val="00C44BE6"/>
    <w:rsid w:val="00C54BC0"/>
    <w:rsid w:val="00C55376"/>
    <w:rsid w:val="00C62BC6"/>
    <w:rsid w:val="00C63806"/>
    <w:rsid w:val="00C66452"/>
    <w:rsid w:val="00C67434"/>
    <w:rsid w:val="00C70381"/>
    <w:rsid w:val="00C71DB7"/>
    <w:rsid w:val="00C71DD8"/>
    <w:rsid w:val="00C73C89"/>
    <w:rsid w:val="00C76625"/>
    <w:rsid w:val="00C81825"/>
    <w:rsid w:val="00C87ACA"/>
    <w:rsid w:val="00C90341"/>
    <w:rsid w:val="00C90C84"/>
    <w:rsid w:val="00C91E45"/>
    <w:rsid w:val="00C925AD"/>
    <w:rsid w:val="00C92837"/>
    <w:rsid w:val="00C956E6"/>
    <w:rsid w:val="00C9702E"/>
    <w:rsid w:val="00CA756F"/>
    <w:rsid w:val="00CB5F74"/>
    <w:rsid w:val="00CB7BD0"/>
    <w:rsid w:val="00CC1D9D"/>
    <w:rsid w:val="00CC4505"/>
    <w:rsid w:val="00CC4FD1"/>
    <w:rsid w:val="00CD1A0E"/>
    <w:rsid w:val="00CD4A96"/>
    <w:rsid w:val="00CD500C"/>
    <w:rsid w:val="00CD7E39"/>
    <w:rsid w:val="00CE2386"/>
    <w:rsid w:val="00CF1486"/>
    <w:rsid w:val="00CF4463"/>
    <w:rsid w:val="00D02259"/>
    <w:rsid w:val="00D05667"/>
    <w:rsid w:val="00D061C3"/>
    <w:rsid w:val="00D070A0"/>
    <w:rsid w:val="00D111E1"/>
    <w:rsid w:val="00D11D4F"/>
    <w:rsid w:val="00D123A8"/>
    <w:rsid w:val="00D14E4C"/>
    <w:rsid w:val="00D167C4"/>
    <w:rsid w:val="00D22107"/>
    <w:rsid w:val="00D2212D"/>
    <w:rsid w:val="00D30A9E"/>
    <w:rsid w:val="00D30E0B"/>
    <w:rsid w:val="00D34D36"/>
    <w:rsid w:val="00D36233"/>
    <w:rsid w:val="00D36EA3"/>
    <w:rsid w:val="00D46BF7"/>
    <w:rsid w:val="00D500B8"/>
    <w:rsid w:val="00D50ACC"/>
    <w:rsid w:val="00D56D20"/>
    <w:rsid w:val="00D667D8"/>
    <w:rsid w:val="00D70859"/>
    <w:rsid w:val="00D74E98"/>
    <w:rsid w:val="00D7589E"/>
    <w:rsid w:val="00D75FF2"/>
    <w:rsid w:val="00D7648A"/>
    <w:rsid w:val="00D76CAD"/>
    <w:rsid w:val="00D80177"/>
    <w:rsid w:val="00D834FD"/>
    <w:rsid w:val="00D90534"/>
    <w:rsid w:val="00D928C2"/>
    <w:rsid w:val="00D92D5C"/>
    <w:rsid w:val="00D95A4F"/>
    <w:rsid w:val="00D979D5"/>
    <w:rsid w:val="00D97FBC"/>
    <w:rsid w:val="00DA3B28"/>
    <w:rsid w:val="00DA5CB3"/>
    <w:rsid w:val="00DB1F0A"/>
    <w:rsid w:val="00DB2034"/>
    <w:rsid w:val="00DB6624"/>
    <w:rsid w:val="00DB6CD7"/>
    <w:rsid w:val="00DB7CED"/>
    <w:rsid w:val="00DC0632"/>
    <w:rsid w:val="00DC1388"/>
    <w:rsid w:val="00DD4C3A"/>
    <w:rsid w:val="00DE4DB0"/>
    <w:rsid w:val="00DE64BF"/>
    <w:rsid w:val="00DF09C5"/>
    <w:rsid w:val="00DF2202"/>
    <w:rsid w:val="00DF707C"/>
    <w:rsid w:val="00E0224C"/>
    <w:rsid w:val="00E02FB6"/>
    <w:rsid w:val="00E04CD3"/>
    <w:rsid w:val="00E0564E"/>
    <w:rsid w:val="00E07174"/>
    <w:rsid w:val="00E11962"/>
    <w:rsid w:val="00E123E6"/>
    <w:rsid w:val="00E15504"/>
    <w:rsid w:val="00E161D3"/>
    <w:rsid w:val="00E16C57"/>
    <w:rsid w:val="00E210CF"/>
    <w:rsid w:val="00E215DA"/>
    <w:rsid w:val="00E27A67"/>
    <w:rsid w:val="00E31113"/>
    <w:rsid w:val="00E33BFB"/>
    <w:rsid w:val="00E45838"/>
    <w:rsid w:val="00E45B4C"/>
    <w:rsid w:val="00E47D64"/>
    <w:rsid w:val="00E50FC9"/>
    <w:rsid w:val="00E51E39"/>
    <w:rsid w:val="00E52819"/>
    <w:rsid w:val="00E54F3E"/>
    <w:rsid w:val="00E62455"/>
    <w:rsid w:val="00E6280C"/>
    <w:rsid w:val="00E6307C"/>
    <w:rsid w:val="00E66078"/>
    <w:rsid w:val="00E73ECD"/>
    <w:rsid w:val="00E84C2C"/>
    <w:rsid w:val="00E87465"/>
    <w:rsid w:val="00E92145"/>
    <w:rsid w:val="00EA1AD0"/>
    <w:rsid w:val="00EB0CFF"/>
    <w:rsid w:val="00EB219C"/>
    <w:rsid w:val="00EC5BA7"/>
    <w:rsid w:val="00ED1FBC"/>
    <w:rsid w:val="00ED35CC"/>
    <w:rsid w:val="00ED585D"/>
    <w:rsid w:val="00EE0AD0"/>
    <w:rsid w:val="00EE3FD4"/>
    <w:rsid w:val="00EE6BEE"/>
    <w:rsid w:val="00EF4625"/>
    <w:rsid w:val="00EF795C"/>
    <w:rsid w:val="00F142EF"/>
    <w:rsid w:val="00F14A3D"/>
    <w:rsid w:val="00F21E8E"/>
    <w:rsid w:val="00F458D3"/>
    <w:rsid w:val="00F45BDC"/>
    <w:rsid w:val="00F50ACB"/>
    <w:rsid w:val="00F528B9"/>
    <w:rsid w:val="00F53925"/>
    <w:rsid w:val="00F57783"/>
    <w:rsid w:val="00F7340B"/>
    <w:rsid w:val="00F82507"/>
    <w:rsid w:val="00F8520C"/>
    <w:rsid w:val="00F85F4A"/>
    <w:rsid w:val="00F8637A"/>
    <w:rsid w:val="00F866DD"/>
    <w:rsid w:val="00F911C3"/>
    <w:rsid w:val="00F924A6"/>
    <w:rsid w:val="00F92F43"/>
    <w:rsid w:val="00FA23FB"/>
    <w:rsid w:val="00FB0E9A"/>
    <w:rsid w:val="00FB1AF0"/>
    <w:rsid w:val="00FB2237"/>
    <w:rsid w:val="00FB54EF"/>
    <w:rsid w:val="00FB6F9E"/>
    <w:rsid w:val="00FB71EE"/>
    <w:rsid w:val="00FC0F04"/>
    <w:rsid w:val="00FC11C8"/>
    <w:rsid w:val="00FC16BA"/>
    <w:rsid w:val="00FC60C0"/>
    <w:rsid w:val="00FD0C50"/>
    <w:rsid w:val="00FD1B23"/>
    <w:rsid w:val="00FD702A"/>
    <w:rsid w:val="00FE4261"/>
    <w:rsid w:val="00FF12BA"/>
    <w:rsid w:val="00FF2F2F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1CF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6562F"/>
    <w:rPr>
      <w:rFonts w:ascii="Arial" w:hAnsi="Arial" w:cs="Arial" w:hint="default"/>
      <w:b/>
      <w:bCs/>
      <w:color w:val="0000FF"/>
      <w:sz w:val="20"/>
      <w:szCs w:val="20"/>
      <w:u w:val="single"/>
    </w:rPr>
  </w:style>
  <w:style w:type="paragraph" w:styleId="BalloonText">
    <w:name w:val="Balloon Text"/>
    <w:basedOn w:val="Normal"/>
    <w:semiHidden/>
    <w:rsid w:val="001E189B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8E3A65"/>
    <w:rPr>
      <w:color w:val="800080"/>
      <w:u w:val="single"/>
    </w:rPr>
  </w:style>
  <w:style w:type="character" w:styleId="CommentReference">
    <w:name w:val="annotation reference"/>
    <w:semiHidden/>
    <w:rsid w:val="00A374B1"/>
    <w:rPr>
      <w:sz w:val="16"/>
      <w:szCs w:val="16"/>
    </w:rPr>
  </w:style>
  <w:style w:type="paragraph" w:styleId="CommentText">
    <w:name w:val="annotation text"/>
    <w:basedOn w:val="Normal"/>
    <w:semiHidden/>
    <w:rsid w:val="00A374B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374B1"/>
    <w:rPr>
      <w:b/>
      <w:bCs/>
    </w:rPr>
  </w:style>
  <w:style w:type="table" w:styleId="TableGrid">
    <w:name w:val="Table Grid"/>
    <w:basedOn w:val="TableNormal"/>
    <w:rsid w:val="006F5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D221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22107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0F6EE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F3320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5F3320"/>
    <w:rPr>
      <w:rFonts w:ascii="Consolas" w:eastAsia="Calibri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1F3E71"/>
    <w:pPr>
      <w:spacing w:before="100" w:beforeAutospacing="1" w:after="100" w:afterAutospacing="1"/>
    </w:pPr>
  </w:style>
  <w:style w:type="character" w:customStyle="1" w:styleId="FooterChar">
    <w:name w:val="Footer Char"/>
    <w:link w:val="Footer"/>
    <w:uiPriority w:val="99"/>
    <w:rsid w:val="008B4B28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05F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1CF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6562F"/>
    <w:rPr>
      <w:rFonts w:ascii="Arial" w:hAnsi="Arial" w:cs="Arial" w:hint="default"/>
      <w:b/>
      <w:bCs/>
      <w:color w:val="0000FF"/>
      <w:sz w:val="20"/>
      <w:szCs w:val="20"/>
      <w:u w:val="single"/>
    </w:rPr>
  </w:style>
  <w:style w:type="paragraph" w:styleId="BalloonText">
    <w:name w:val="Balloon Text"/>
    <w:basedOn w:val="Normal"/>
    <w:semiHidden/>
    <w:rsid w:val="001E189B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8E3A65"/>
    <w:rPr>
      <w:color w:val="800080"/>
      <w:u w:val="single"/>
    </w:rPr>
  </w:style>
  <w:style w:type="character" w:styleId="CommentReference">
    <w:name w:val="annotation reference"/>
    <w:semiHidden/>
    <w:rsid w:val="00A374B1"/>
    <w:rPr>
      <w:sz w:val="16"/>
      <w:szCs w:val="16"/>
    </w:rPr>
  </w:style>
  <w:style w:type="paragraph" w:styleId="CommentText">
    <w:name w:val="annotation text"/>
    <w:basedOn w:val="Normal"/>
    <w:semiHidden/>
    <w:rsid w:val="00A374B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374B1"/>
    <w:rPr>
      <w:b/>
      <w:bCs/>
    </w:rPr>
  </w:style>
  <w:style w:type="table" w:styleId="TableGrid">
    <w:name w:val="Table Grid"/>
    <w:basedOn w:val="TableNormal"/>
    <w:rsid w:val="006F5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D221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22107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0F6EE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F3320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5F3320"/>
    <w:rPr>
      <w:rFonts w:ascii="Consolas" w:eastAsia="Calibri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1F3E71"/>
    <w:pPr>
      <w:spacing w:before="100" w:beforeAutospacing="1" w:after="100" w:afterAutospacing="1"/>
    </w:pPr>
  </w:style>
  <w:style w:type="character" w:customStyle="1" w:styleId="FooterChar">
    <w:name w:val="Footer Char"/>
    <w:link w:val="Footer"/>
    <w:uiPriority w:val="99"/>
    <w:rsid w:val="008B4B28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05F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9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7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5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1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8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4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0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0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7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6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6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5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0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4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0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2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3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7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6E0F5-B136-431C-A2E7-100AB71B5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643</Words>
  <Characters>3483</Characters>
  <Application>Microsoft Office Word</Application>
  <DocSecurity>8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DoD P&amp;T Committee Evaluation of Angiotensin-II Receptor Blockers (ARBs)</vt:lpstr>
    </vt:vector>
  </TitlesOfParts>
  <Company>U.S. Army</Company>
  <LinksUpToDate>false</LinksUpToDate>
  <CharactersWithSpaces>4118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 P&amp;T Committee Evaluation of Angiotensin-II Receptor Blockers (ARBs)</dc:title>
  <dc:creator>David R. Bretzke, PharmD</dc:creator>
  <cp:lastModifiedBy>Cardinal, Tammera, CTR, DHA</cp:lastModifiedBy>
  <cp:revision>7</cp:revision>
  <cp:lastPrinted>2016-01-21T23:26:00Z</cp:lastPrinted>
  <dcterms:created xsi:type="dcterms:W3CDTF">2016-01-25T17:19:00Z</dcterms:created>
  <dcterms:modified xsi:type="dcterms:W3CDTF">2016-02-02T20:40:00Z</dcterms:modified>
</cp:coreProperties>
</file>