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63" w:rsidRPr="004E4263" w:rsidRDefault="004E4263" w:rsidP="004E4263">
      <w:pPr>
        <w:jc w:val="right"/>
        <w:rPr>
          <w:rFonts w:ascii="Verdana" w:hAnsi="Verdana"/>
          <w:b/>
          <w:color w:val="000000"/>
        </w:rPr>
      </w:pPr>
    </w:p>
    <w:p w:rsidR="004E4263" w:rsidRPr="004E4263" w:rsidRDefault="004E4263" w:rsidP="006E2D96">
      <w:pPr>
        <w:spacing w:line="960" w:lineRule="auto"/>
        <w:jc w:val="right"/>
        <w:rPr>
          <w:rFonts w:ascii="Verdana" w:hAnsi="Verdana"/>
          <w:color w:val="000000"/>
          <w:sz w:val="28"/>
        </w:rPr>
      </w:pPr>
      <w:r w:rsidRPr="004E4263">
        <w:rPr>
          <w:rFonts w:ascii="Verdana" w:hAnsi="Verdana"/>
          <w:b/>
        </w:rPr>
        <w:t>5 February 2004</w:t>
      </w:r>
    </w:p>
    <w:p w:rsidR="004E4263" w:rsidRPr="004E4263" w:rsidRDefault="004E4263" w:rsidP="004E4263">
      <w:pPr>
        <w:pStyle w:val="CoverSubtitleDocumentName"/>
        <w:spacing w:after="60"/>
        <w:rPr>
          <w:rFonts w:ascii="Verdana" w:hAnsi="Verdana"/>
          <w:color w:val="000000"/>
          <w:sz w:val="32"/>
          <w:szCs w:val="32"/>
        </w:rPr>
      </w:pPr>
      <w:r w:rsidRPr="004E4263">
        <w:rPr>
          <w:rFonts w:ascii="Verdana" w:hAnsi="Verdana"/>
          <w:color w:val="000000"/>
          <w:sz w:val="32"/>
          <w:szCs w:val="32"/>
        </w:rPr>
        <w:t>Direct Care Completion Factors</w:t>
      </w:r>
    </w:p>
    <w:p w:rsidR="004E4263" w:rsidRPr="004E4263" w:rsidRDefault="004E4263" w:rsidP="004E4263">
      <w:pPr>
        <w:pStyle w:val="CoverSubtitleDocumentName"/>
        <w:spacing w:after="60"/>
        <w:rPr>
          <w:rFonts w:ascii="Verdana" w:hAnsi="Verdana"/>
          <w:color w:val="000000"/>
          <w:sz w:val="32"/>
          <w:szCs w:val="32"/>
        </w:rPr>
      </w:pPr>
      <w:proofErr w:type="gramStart"/>
      <w:r w:rsidRPr="004E4263">
        <w:rPr>
          <w:rFonts w:ascii="Verdana" w:hAnsi="Verdana"/>
          <w:color w:val="000000"/>
          <w:sz w:val="32"/>
          <w:szCs w:val="32"/>
        </w:rPr>
        <w:t>for</w:t>
      </w:r>
      <w:proofErr w:type="gramEnd"/>
      <w:r w:rsidRPr="004E4263">
        <w:rPr>
          <w:rFonts w:ascii="Verdana" w:hAnsi="Verdana"/>
          <w:color w:val="000000"/>
          <w:sz w:val="32"/>
          <w:szCs w:val="32"/>
        </w:rPr>
        <w:t xml:space="preserve"> the</w:t>
      </w:r>
    </w:p>
    <w:p w:rsidR="004E4263" w:rsidRPr="004E4263" w:rsidRDefault="004E4263" w:rsidP="004E4263">
      <w:pPr>
        <w:pStyle w:val="CoverSubtitleDocumentName"/>
        <w:spacing w:after="60"/>
        <w:rPr>
          <w:rFonts w:ascii="Verdana" w:hAnsi="Verdana"/>
          <w:color w:val="000000"/>
          <w:sz w:val="32"/>
          <w:szCs w:val="32"/>
        </w:rPr>
      </w:pPr>
      <w:r w:rsidRPr="004E4263">
        <w:rPr>
          <w:rFonts w:ascii="Verdana" w:hAnsi="Verdana"/>
          <w:color w:val="000000"/>
          <w:sz w:val="32"/>
          <w:szCs w:val="32"/>
        </w:rPr>
        <w:t>MHS Data Repository (</w:t>
      </w:r>
      <w:smartTag w:uri="urn:schemas-microsoft-com:office:smarttags" w:element="stockticker">
        <w:r w:rsidRPr="004E4263">
          <w:rPr>
            <w:rFonts w:ascii="Verdana" w:hAnsi="Verdana"/>
            <w:color w:val="000000"/>
            <w:sz w:val="32"/>
            <w:szCs w:val="32"/>
          </w:rPr>
          <w:t>MDR</w:t>
        </w:r>
      </w:smartTag>
      <w:r w:rsidRPr="004E4263">
        <w:rPr>
          <w:rFonts w:ascii="Verdana" w:hAnsi="Verdana"/>
          <w:color w:val="000000"/>
          <w:sz w:val="32"/>
          <w:szCs w:val="32"/>
        </w:rPr>
        <w:t>)</w:t>
      </w:r>
    </w:p>
    <w:p w:rsidR="006E2D96" w:rsidRDefault="004E4263" w:rsidP="006E2D96">
      <w:pPr>
        <w:pStyle w:val="CoverSubtitleDocumentName"/>
        <w:spacing w:after="60" w:line="1680" w:lineRule="auto"/>
        <w:rPr>
          <w:rFonts w:ascii="Verdana" w:hAnsi="Verdana"/>
          <w:color w:val="000000"/>
          <w:sz w:val="32"/>
          <w:szCs w:val="32"/>
        </w:rPr>
      </w:pPr>
      <w:r w:rsidRPr="004E4263">
        <w:rPr>
          <w:rFonts w:ascii="Verdana" w:hAnsi="Verdana"/>
          <w:color w:val="000000"/>
          <w:sz w:val="32"/>
          <w:szCs w:val="32"/>
        </w:rPr>
        <w:t>(Version 1.00.00)</w:t>
      </w:r>
    </w:p>
    <w:p w:rsidR="004E4263" w:rsidRPr="004E4263" w:rsidRDefault="004E4263" w:rsidP="006E2D96">
      <w:pPr>
        <w:pStyle w:val="CoverSubtitleDocumentName"/>
        <w:spacing w:after="60" w:line="1680" w:lineRule="auto"/>
        <w:rPr>
          <w:rFonts w:ascii="Verdana" w:hAnsi="Verdana"/>
          <w:sz w:val="28"/>
        </w:rPr>
      </w:pPr>
      <w:r w:rsidRPr="004E4263">
        <w:rPr>
          <w:rFonts w:ascii="Verdana" w:hAnsi="Verdana"/>
          <w:color w:val="000000"/>
          <w:sz w:val="32"/>
          <w:szCs w:val="32"/>
        </w:rPr>
        <w:t>Current Specification</w:t>
      </w:r>
    </w:p>
    <w:p w:rsidR="004E4263" w:rsidRPr="004E4263" w:rsidRDefault="004E4263" w:rsidP="004E4263">
      <w:pPr>
        <w:pStyle w:val="CoverSubtitleDocumentName"/>
        <w:spacing w:after="0"/>
        <w:rPr>
          <w:rFonts w:ascii="Verdana" w:hAnsi="Verdana"/>
          <w:sz w:val="28"/>
        </w:rPr>
        <w:sectPr w:rsidR="004E4263" w:rsidRPr="004E4263" w:rsidSect="007A5460">
          <w:pgSz w:w="12240" w:h="15840"/>
          <w:pgMar w:top="1440" w:right="1440" w:bottom="1440" w:left="1440" w:header="720" w:footer="720" w:gutter="0"/>
          <w:cols w:space="720"/>
        </w:sectPr>
      </w:pPr>
    </w:p>
    <w:p w:rsidR="004E4263" w:rsidRPr="004E4263" w:rsidRDefault="004E4263" w:rsidP="004E4263">
      <w:pPr>
        <w:jc w:val="center"/>
        <w:rPr>
          <w:rFonts w:ascii="Verdana" w:hAnsi="Verdana"/>
          <w:b/>
        </w:rPr>
      </w:pPr>
      <w:r w:rsidRPr="004E4263">
        <w:rPr>
          <w:rFonts w:ascii="Verdana" w:hAnsi="Verdana"/>
          <w:b/>
        </w:rPr>
        <w:lastRenderedPageBreak/>
        <w:t>Revision History</w:t>
      </w:r>
    </w:p>
    <w:p w:rsidR="004E4263" w:rsidRPr="004E4263" w:rsidRDefault="004E4263" w:rsidP="004E4263">
      <w:pPr>
        <w:rPr>
          <w:rFonts w:ascii="Verdana" w:hAnsi="Verdana"/>
        </w:rPr>
      </w:pPr>
    </w:p>
    <w:tbl>
      <w:tblPr>
        <w:tblW w:w="1010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4E4263" w:rsidRPr="004E4263" w:rsidTr="00573600">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4E4263" w:rsidRPr="004E4263" w:rsidRDefault="004E4263" w:rsidP="00573600">
            <w:pPr>
              <w:rPr>
                <w:rFonts w:ascii="Verdana" w:hAnsi="Verdana"/>
                <w:b/>
                <w:sz w:val="18"/>
                <w:szCs w:val="18"/>
              </w:rPr>
            </w:pPr>
            <w:r w:rsidRPr="004E4263">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4E4263" w:rsidRPr="004E4263" w:rsidRDefault="004E4263" w:rsidP="00573600">
            <w:pPr>
              <w:rPr>
                <w:rFonts w:ascii="Verdana" w:hAnsi="Verdana"/>
                <w:b/>
                <w:sz w:val="18"/>
                <w:szCs w:val="18"/>
              </w:rPr>
            </w:pPr>
            <w:r w:rsidRPr="004E4263">
              <w:rPr>
                <w:rFonts w:ascii="Verdana" w:hAnsi="Verdana"/>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4E4263" w:rsidRPr="004E4263" w:rsidRDefault="004E4263" w:rsidP="00573600">
            <w:pPr>
              <w:rPr>
                <w:rFonts w:ascii="Verdana" w:hAnsi="Verdana"/>
                <w:b/>
                <w:sz w:val="18"/>
                <w:szCs w:val="18"/>
              </w:rPr>
            </w:pPr>
            <w:r w:rsidRPr="004E4263">
              <w:rPr>
                <w:rFonts w:ascii="Verdana" w:hAnsi="Verdana"/>
                <w:b/>
                <w:sz w:val="18"/>
                <w:szCs w:val="18"/>
              </w:rPr>
              <w:t>Para/</w:t>
            </w:r>
            <w:proofErr w:type="spellStart"/>
            <w:r w:rsidRPr="004E4263">
              <w:rPr>
                <w:rFonts w:ascii="Verdana" w:hAnsi="Verdana"/>
                <w:b/>
                <w:sz w:val="18"/>
                <w:szCs w:val="18"/>
              </w:rPr>
              <w:t>Tbl</w:t>
            </w:r>
            <w:proofErr w:type="spellEnd"/>
            <w:r w:rsidRPr="004E4263">
              <w:rPr>
                <w:rFonts w:ascii="Verdana" w:hAnsi="Verdana"/>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4E4263" w:rsidRPr="004E4263" w:rsidRDefault="004E4263" w:rsidP="00573600">
            <w:pPr>
              <w:rPr>
                <w:rFonts w:ascii="Verdana" w:hAnsi="Verdana"/>
                <w:b/>
                <w:sz w:val="18"/>
                <w:szCs w:val="18"/>
              </w:rPr>
            </w:pPr>
            <w:r w:rsidRPr="004E4263">
              <w:rPr>
                <w:rFonts w:ascii="Verdana" w:hAnsi="Verdana"/>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4E4263" w:rsidRPr="004E4263" w:rsidRDefault="004E4263" w:rsidP="00573600">
            <w:pPr>
              <w:rPr>
                <w:rFonts w:ascii="Verdana" w:hAnsi="Verdana"/>
                <w:b/>
                <w:sz w:val="18"/>
                <w:szCs w:val="18"/>
              </w:rPr>
            </w:pPr>
            <w:r w:rsidRPr="004E4263">
              <w:rPr>
                <w:rFonts w:ascii="Verdana" w:hAnsi="Verdana"/>
                <w:b/>
                <w:sz w:val="18"/>
                <w:szCs w:val="18"/>
              </w:rPr>
              <w:t>Description of Change</w:t>
            </w:r>
          </w:p>
        </w:tc>
      </w:tr>
      <w:tr w:rsidR="004E4263" w:rsidRPr="004E4263" w:rsidTr="00573600">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4E4263" w:rsidRPr="004E4263" w:rsidRDefault="004E4263" w:rsidP="00573600">
            <w:pPr>
              <w:rPr>
                <w:rFonts w:ascii="Verdana" w:hAnsi="Verdana"/>
                <w:sz w:val="18"/>
                <w:szCs w:val="18"/>
              </w:rPr>
            </w:pPr>
            <w:r w:rsidRPr="004E4263">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4E4263" w:rsidRPr="004E4263" w:rsidRDefault="004E4263" w:rsidP="00573600">
            <w:pPr>
              <w:rPr>
                <w:rFonts w:ascii="Verdana" w:hAnsi="Verdana"/>
                <w:sz w:val="18"/>
                <w:szCs w:val="18"/>
              </w:rPr>
            </w:pPr>
            <w:r w:rsidRPr="004E4263">
              <w:rPr>
                <w:rFonts w:ascii="Verdana" w:hAnsi="Verdana"/>
                <w:sz w:val="18"/>
                <w:szCs w:val="18"/>
              </w:rPr>
              <w:t>02/05/2004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4E4263" w:rsidRPr="004E4263" w:rsidRDefault="004E4263" w:rsidP="004E4263">
            <w:pPr>
              <w:numPr>
                <w:ilvl w:val="0"/>
                <w:numId w:val="21"/>
              </w:numPr>
              <w:tabs>
                <w:tab w:val="clear" w:pos="720"/>
                <w:tab w:val="num" w:pos="190"/>
              </w:tabs>
              <w:ind w:left="190" w:hanging="180"/>
              <w:rPr>
                <w:rFonts w:ascii="Verdana" w:hAnsi="Verdana"/>
                <w:sz w:val="18"/>
                <w:szCs w:val="18"/>
              </w:rPr>
            </w:pPr>
            <w:r w:rsidRPr="004E4263">
              <w:rPr>
                <w:rFonts w:ascii="Verdana" w:hAnsi="Verdana"/>
                <w:sz w:val="18"/>
                <w:szCs w:val="18"/>
              </w:rPr>
              <w:t>Entire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4E4263" w:rsidRPr="004E4263" w:rsidRDefault="004E4263" w:rsidP="00573600">
            <w:pPr>
              <w:rPr>
                <w:rFonts w:ascii="Verdana" w:hAnsi="Verdana"/>
                <w:sz w:val="18"/>
                <w:szCs w:val="18"/>
              </w:rPr>
            </w:pPr>
            <w:r w:rsidRPr="004E4263">
              <w:rPr>
                <w:rFonts w:ascii="Verdana" w:hAnsi="Verdana"/>
                <w:sz w:val="18"/>
                <w:szCs w:val="18"/>
              </w:rPr>
              <w:t>K. Hutchinson</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4E4263" w:rsidRPr="004E4263" w:rsidRDefault="004E4263" w:rsidP="004E4263">
            <w:pPr>
              <w:numPr>
                <w:ilvl w:val="0"/>
                <w:numId w:val="20"/>
              </w:numPr>
              <w:tabs>
                <w:tab w:val="num" w:pos="190"/>
              </w:tabs>
              <w:ind w:left="190" w:hanging="180"/>
              <w:rPr>
                <w:rFonts w:ascii="Verdana" w:hAnsi="Verdana"/>
                <w:sz w:val="18"/>
                <w:szCs w:val="18"/>
              </w:rPr>
            </w:pPr>
            <w:r w:rsidRPr="004E4263">
              <w:rPr>
                <w:rFonts w:ascii="Verdana" w:hAnsi="Verdana"/>
                <w:sz w:val="18"/>
                <w:szCs w:val="18"/>
              </w:rPr>
              <w:t>Initial versioning.</w:t>
            </w:r>
          </w:p>
        </w:tc>
      </w:tr>
    </w:tbl>
    <w:p w:rsidR="004E4263" w:rsidRPr="004E4263" w:rsidRDefault="004E4263" w:rsidP="004E4263">
      <w:pPr>
        <w:rPr>
          <w:rFonts w:ascii="Verdana" w:hAnsi="Verdana"/>
        </w:rPr>
      </w:pPr>
    </w:p>
    <w:p w:rsidR="00625DF4" w:rsidRPr="004E4263" w:rsidRDefault="004E4263" w:rsidP="004E4263">
      <w:pPr>
        <w:pStyle w:val="Title"/>
        <w:rPr>
          <w:rFonts w:ascii="Verdana" w:hAnsi="Verdana"/>
          <w:sz w:val="20"/>
        </w:rPr>
      </w:pPr>
      <w:r w:rsidRPr="004E4263">
        <w:rPr>
          <w:rFonts w:ascii="Verdana" w:hAnsi="Verdana"/>
        </w:rPr>
        <w:br w:type="page"/>
      </w:r>
      <w:r w:rsidR="00625DF4" w:rsidRPr="004E4263">
        <w:rPr>
          <w:rFonts w:ascii="Verdana" w:hAnsi="Verdana"/>
          <w:sz w:val="20"/>
        </w:rPr>
        <w:lastRenderedPageBreak/>
        <w:t>Direct Care Completion Factors</w:t>
      </w:r>
    </w:p>
    <w:p w:rsidR="00625DF4" w:rsidRPr="004E4263" w:rsidRDefault="00625DF4">
      <w:pPr>
        <w:pStyle w:val="Title"/>
        <w:rPr>
          <w:rFonts w:ascii="Verdana" w:hAnsi="Verdana"/>
          <w:b w:val="0"/>
          <w:sz w:val="20"/>
        </w:rPr>
      </w:pPr>
    </w:p>
    <w:p w:rsidR="004F563C" w:rsidRPr="004F563C" w:rsidRDefault="00625DF4" w:rsidP="004F563C">
      <w:pPr>
        <w:pStyle w:val="Title"/>
        <w:numPr>
          <w:ilvl w:val="0"/>
          <w:numId w:val="22"/>
        </w:numPr>
        <w:tabs>
          <w:tab w:val="clear" w:pos="720"/>
          <w:tab w:val="num" w:pos="360"/>
        </w:tabs>
        <w:ind w:left="360" w:hanging="360"/>
        <w:jc w:val="both"/>
        <w:rPr>
          <w:rFonts w:ascii="Verdana" w:hAnsi="Verdana"/>
          <w:sz w:val="20"/>
        </w:rPr>
      </w:pPr>
      <w:r w:rsidRPr="004F563C">
        <w:rPr>
          <w:rFonts w:ascii="Verdana" w:hAnsi="Verdana"/>
          <w:sz w:val="20"/>
        </w:rPr>
        <w:t>File Format</w:t>
      </w:r>
    </w:p>
    <w:p w:rsidR="004F563C" w:rsidRDefault="004F563C" w:rsidP="001251E1">
      <w:pPr>
        <w:pStyle w:val="Title"/>
        <w:jc w:val="both"/>
        <w:rPr>
          <w:rFonts w:ascii="Verdana" w:hAnsi="Verdana"/>
          <w:b w:val="0"/>
          <w:sz w:val="20"/>
        </w:rPr>
      </w:pPr>
    </w:p>
    <w:p w:rsidR="00625DF4" w:rsidRPr="004E4263" w:rsidRDefault="00625DF4" w:rsidP="004F563C">
      <w:pPr>
        <w:pStyle w:val="Title"/>
        <w:ind w:left="360"/>
        <w:jc w:val="both"/>
        <w:rPr>
          <w:rFonts w:ascii="Verdana" w:hAnsi="Verdana"/>
          <w:b w:val="0"/>
          <w:sz w:val="20"/>
        </w:rPr>
      </w:pPr>
      <w:r w:rsidRPr="004E4263">
        <w:rPr>
          <w:rFonts w:ascii="Verdana" w:hAnsi="Verdana"/>
          <w:b w:val="0"/>
          <w:sz w:val="20"/>
        </w:rPr>
        <w:t xml:space="preserve">The </w:t>
      </w:r>
      <w:r w:rsidR="001F3067" w:rsidRPr="004E4263">
        <w:rPr>
          <w:rFonts w:ascii="Verdana" w:hAnsi="Verdana"/>
          <w:b w:val="0"/>
          <w:sz w:val="20"/>
        </w:rPr>
        <w:t>d</w:t>
      </w:r>
      <w:r w:rsidRPr="004E4263">
        <w:rPr>
          <w:rFonts w:ascii="Verdana" w:hAnsi="Verdana"/>
          <w:b w:val="0"/>
          <w:sz w:val="20"/>
        </w:rPr>
        <w:t xml:space="preserve">irect </w:t>
      </w:r>
      <w:r w:rsidR="001F3067" w:rsidRPr="004E4263">
        <w:rPr>
          <w:rFonts w:ascii="Verdana" w:hAnsi="Verdana"/>
          <w:b w:val="0"/>
          <w:sz w:val="20"/>
        </w:rPr>
        <w:t>c</w:t>
      </w:r>
      <w:r w:rsidRPr="004E4263">
        <w:rPr>
          <w:rFonts w:ascii="Verdana" w:hAnsi="Verdana"/>
          <w:b w:val="0"/>
          <w:sz w:val="20"/>
        </w:rPr>
        <w:t xml:space="preserve">are </w:t>
      </w:r>
      <w:r w:rsidR="001F3067" w:rsidRPr="004E4263">
        <w:rPr>
          <w:rFonts w:ascii="Verdana" w:hAnsi="Verdana"/>
          <w:b w:val="0"/>
          <w:sz w:val="20"/>
        </w:rPr>
        <w:t>c</w:t>
      </w:r>
      <w:r w:rsidRPr="004E4263">
        <w:rPr>
          <w:rFonts w:ascii="Verdana" w:hAnsi="Verdana"/>
          <w:b w:val="0"/>
          <w:sz w:val="20"/>
        </w:rPr>
        <w:t xml:space="preserve">ompletion </w:t>
      </w:r>
      <w:r w:rsidR="001F3067" w:rsidRPr="004E4263">
        <w:rPr>
          <w:rFonts w:ascii="Verdana" w:hAnsi="Verdana"/>
          <w:b w:val="0"/>
          <w:sz w:val="20"/>
        </w:rPr>
        <w:t>f</w:t>
      </w:r>
      <w:r w:rsidRPr="004E4263">
        <w:rPr>
          <w:rFonts w:ascii="Verdana" w:hAnsi="Verdana"/>
          <w:b w:val="0"/>
          <w:sz w:val="20"/>
        </w:rPr>
        <w:t>actors are provided as two tables of slightly different format, one each for SADR and SIDR completion factors</w:t>
      </w:r>
      <w:r w:rsidR="003A15D0" w:rsidRPr="004E4263">
        <w:rPr>
          <w:rFonts w:ascii="Verdana" w:hAnsi="Verdana"/>
          <w:b w:val="0"/>
          <w:sz w:val="20"/>
        </w:rPr>
        <w:t>, and are “!” delimited.</w:t>
      </w:r>
    </w:p>
    <w:p w:rsidR="00625DF4" w:rsidRPr="004E4263" w:rsidRDefault="00625DF4" w:rsidP="001251E1">
      <w:pPr>
        <w:pStyle w:val="Title"/>
        <w:jc w:val="both"/>
        <w:rPr>
          <w:rFonts w:ascii="Verdana" w:hAnsi="Verdana"/>
          <w:b w:val="0"/>
          <w:sz w:val="20"/>
        </w:rPr>
      </w:pPr>
    </w:p>
    <w:p w:rsidR="004F563C" w:rsidRPr="004F563C" w:rsidRDefault="00625DF4" w:rsidP="004F563C">
      <w:pPr>
        <w:pStyle w:val="Title"/>
        <w:numPr>
          <w:ilvl w:val="0"/>
          <w:numId w:val="22"/>
        </w:numPr>
        <w:tabs>
          <w:tab w:val="clear" w:pos="720"/>
          <w:tab w:val="num" w:pos="360"/>
        </w:tabs>
        <w:ind w:left="360" w:hanging="360"/>
        <w:jc w:val="both"/>
        <w:rPr>
          <w:rFonts w:ascii="Verdana" w:hAnsi="Verdana"/>
          <w:sz w:val="20"/>
        </w:rPr>
      </w:pPr>
      <w:r w:rsidRPr="004F563C">
        <w:rPr>
          <w:rFonts w:ascii="Verdana" w:hAnsi="Verdana"/>
          <w:sz w:val="20"/>
        </w:rPr>
        <w:t>Periodicity</w:t>
      </w:r>
    </w:p>
    <w:p w:rsidR="004F563C" w:rsidRDefault="004F563C" w:rsidP="004F563C">
      <w:pPr>
        <w:pStyle w:val="Title"/>
        <w:jc w:val="both"/>
        <w:rPr>
          <w:rFonts w:ascii="Verdana" w:hAnsi="Verdana"/>
          <w:b w:val="0"/>
          <w:sz w:val="20"/>
        </w:rPr>
      </w:pPr>
    </w:p>
    <w:p w:rsidR="00625DF4" w:rsidRPr="004E4263" w:rsidRDefault="00625DF4" w:rsidP="004F563C">
      <w:pPr>
        <w:pStyle w:val="Title"/>
        <w:ind w:left="360"/>
        <w:jc w:val="both"/>
        <w:rPr>
          <w:rFonts w:ascii="Verdana" w:hAnsi="Verdana"/>
          <w:b w:val="0"/>
          <w:sz w:val="20"/>
        </w:rPr>
      </w:pPr>
      <w:r w:rsidRPr="004E4263">
        <w:rPr>
          <w:rFonts w:ascii="Verdana" w:hAnsi="Verdana"/>
          <w:b w:val="0"/>
          <w:sz w:val="20"/>
        </w:rPr>
        <w:t xml:space="preserve">The </w:t>
      </w:r>
      <w:r w:rsidR="001F3067" w:rsidRPr="004E4263">
        <w:rPr>
          <w:rFonts w:ascii="Verdana" w:hAnsi="Verdana"/>
          <w:b w:val="0"/>
          <w:sz w:val="20"/>
        </w:rPr>
        <w:t>d</w:t>
      </w:r>
      <w:r w:rsidRPr="004E4263">
        <w:rPr>
          <w:rFonts w:ascii="Verdana" w:hAnsi="Verdana"/>
          <w:b w:val="0"/>
          <w:sz w:val="20"/>
        </w:rPr>
        <w:t xml:space="preserve">irect </w:t>
      </w:r>
      <w:r w:rsidR="001F3067" w:rsidRPr="004E4263">
        <w:rPr>
          <w:rFonts w:ascii="Verdana" w:hAnsi="Verdana"/>
          <w:b w:val="0"/>
          <w:sz w:val="20"/>
        </w:rPr>
        <w:t>c</w:t>
      </w:r>
      <w:r w:rsidRPr="004E4263">
        <w:rPr>
          <w:rFonts w:ascii="Verdana" w:hAnsi="Verdana"/>
          <w:b w:val="0"/>
          <w:sz w:val="20"/>
        </w:rPr>
        <w:t xml:space="preserve">are </w:t>
      </w:r>
      <w:r w:rsidR="001F3067" w:rsidRPr="004E4263">
        <w:rPr>
          <w:rFonts w:ascii="Verdana" w:hAnsi="Verdana"/>
          <w:b w:val="0"/>
          <w:sz w:val="20"/>
        </w:rPr>
        <w:t>c</w:t>
      </w:r>
      <w:r w:rsidRPr="004E4263">
        <w:rPr>
          <w:rFonts w:ascii="Verdana" w:hAnsi="Verdana"/>
          <w:b w:val="0"/>
          <w:sz w:val="20"/>
        </w:rPr>
        <w:t xml:space="preserve">ompletion </w:t>
      </w:r>
      <w:r w:rsidR="001F3067" w:rsidRPr="004E4263">
        <w:rPr>
          <w:rFonts w:ascii="Verdana" w:hAnsi="Verdana"/>
          <w:b w:val="0"/>
          <w:sz w:val="20"/>
        </w:rPr>
        <w:t>f</w:t>
      </w:r>
      <w:r w:rsidRPr="004E4263">
        <w:rPr>
          <w:rFonts w:ascii="Verdana" w:hAnsi="Verdana"/>
          <w:b w:val="0"/>
          <w:sz w:val="20"/>
        </w:rPr>
        <w:t xml:space="preserve">actors </w:t>
      </w:r>
      <w:r w:rsidR="001F3067" w:rsidRPr="004E4263">
        <w:rPr>
          <w:rFonts w:ascii="Verdana" w:hAnsi="Verdana"/>
          <w:b w:val="0"/>
          <w:sz w:val="20"/>
        </w:rPr>
        <w:t>t</w:t>
      </w:r>
      <w:r w:rsidRPr="004E4263">
        <w:rPr>
          <w:rFonts w:ascii="Verdana" w:hAnsi="Verdana"/>
          <w:b w:val="0"/>
          <w:sz w:val="20"/>
        </w:rPr>
        <w:t>able will be updated on an as needed basis. This is usually monthly for the current year, and less often for previous years. The actual timing is dependent on the refreshing of the encounter data and processing of the worldwide workload report (WWR). The factors cannot be calculated for a month until both the encounter data and the WWR have been processed.</w:t>
      </w:r>
    </w:p>
    <w:p w:rsidR="00625DF4" w:rsidRPr="004E4263" w:rsidRDefault="00625DF4" w:rsidP="001251E1">
      <w:pPr>
        <w:pStyle w:val="Title"/>
        <w:jc w:val="both"/>
        <w:rPr>
          <w:rFonts w:ascii="Verdana" w:hAnsi="Verdana"/>
          <w:b w:val="0"/>
          <w:sz w:val="20"/>
        </w:rPr>
      </w:pPr>
    </w:p>
    <w:p w:rsidR="004F563C" w:rsidRPr="004F563C" w:rsidRDefault="00625DF4" w:rsidP="004F563C">
      <w:pPr>
        <w:pStyle w:val="Title"/>
        <w:numPr>
          <w:ilvl w:val="0"/>
          <w:numId w:val="22"/>
        </w:numPr>
        <w:tabs>
          <w:tab w:val="clear" w:pos="720"/>
          <w:tab w:val="num" w:pos="360"/>
        </w:tabs>
        <w:ind w:left="360" w:hanging="360"/>
        <w:jc w:val="both"/>
        <w:rPr>
          <w:rFonts w:ascii="Verdana" w:hAnsi="Verdana"/>
          <w:sz w:val="20"/>
        </w:rPr>
      </w:pPr>
      <w:r w:rsidRPr="004F563C">
        <w:rPr>
          <w:rFonts w:ascii="Verdana" w:hAnsi="Verdana"/>
          <w:sz w:val="20"/>
        </w:rPr>
        <w:t>Record Selection</w:t>
      </w:r>
    </w:p>
    <w:p w:rsidR="004F563C" w:rsidRDefault="004F563C" w:rsidP="001251E1">
      <w:pPr>
        <w:pStyle w:val="Title"/>
        <w:jc w:val="both"/>
        <w:rPr>
          <w:rFonts w:ascii="Verdana" w:hAnsi="Verdana"/>
          <w:b w:val="0"/>
          <w:sz w:val="20"/>
        </w:rPr>
      </w:pPr>
    </w:p>
    <w:p w:rsidR="00625DF4" w:rsidRPr="004E4263" w:rsidRDefault="00625DF4" w:rsidP="004F563C">
      <w:pPr>
        <w:pStyle w:val="Title"/>
        <w:ind w:left="360"/>
        <w:jc w:val="both"/>
        <w:rPr>
          <w:rFonts w:ascii="Verdana" w:hAnsi="Verdana"/>
          <w:b w:val="0"/>
          <w:sz w:val="20"/>
        </w:rPr>
      </w:pPr>
      <w:r w:rsidRPr="004E4263">
        <w:rPr>
          <w:rFonts w:ascii="Verdana" w:hAnsi="Verdana"/>
          <w:b w:val="0"/>
          <w:sz w:val="20"/>
        </w:rPr>
        <w:t xml:space="preserve">Completion factors are only calculated for MTFs that regularly submit </w:t>
      </w:r>
      <w:r w:rsidR="001F3067" w:rsidRPr="004E4263">
        <w:rPr>
          <w:rFonts w:ascii="Verdana" w:hAnsi="Verdana"/>
          <w:b w:val="0"/>
          <w:sz w:val="20"/>
        </w:rPr>
        <w:t>WWR</w:t>
      </w:r>
      <w:r w:rsidRPr="004E4263">
        <w:rPr>
          <w:rFonts w:ascii="Verdana" w:hAnsi="Verdana"/>
          <w:b w:val="0"/>
          <w:sz w:val="20"/>
        </w:rPr>
        <w:t xml:space="preserve"> reports. Completion factors are provided only for inpatient facilities (for SIDRs) and for ambulatory clinics identified by </w:t>
      </w:r>
      <w:r w:rsidR="00F16E56" w:rsidRPr="004E4263">
        <w:rPr>
          <w:rFonts w:ascii="Verdana" w:hAnsi="Verdana"/>
          <w:b w:val="0"/>
          <w:sz w:val="20"/>
        </w:rPr>
        <w:t>all “B” (1</w:t>
      </w:r>
      <w:r w:rsidR="00F16E56" w:rsidRPr="004E4263">
        <w:rPr>
          <w:rFonts w:ascii="Verdana" w:hAnsi="Verdana"/>
          <w:b w:val="0"/>
          <w:sz w:val="20"/>
          <w:vertAlign w:val="superscript"/>
        </w:rPr>
        <w:t>st</w:t>
      </w:r>
      <w:r w:rsidR="00F16E56" w:rsidRPr="004E4263">
        <w:rPr>
          <w:rFonts w:ascii="Verdana" w:hAnsi="Verdana"/>
          <w:b w:val="0"/>
          <w:sz w:val="20"/>
        </w:rPr>
        <w:t xml:space="preserve"> character of the MEPRS code) and “FBN” </w:t>
      </w:r>
      <w:r w:rsidRPr="004E4263">
        <w:rPr>
          <w:rFonts w:ascii="Verdana" w:hAnsi="Verdana"/>
          <w:b w:val="0"/>
          <w:sz w:val="20"/>
        </w:rPr>
        <w:t>(for SADRs).</w:t>
      </w:r>
    </w:p>
    <w:p w:rsidR="00625DF4" w:rsidRPr="004E4263" w:rsidRDefault="00625DF4" w:rsidP="001251E1">
      <w:pPr>
        <w:pStyle w:val="Title"/>
        <w:jc w:val="both"/>
        <w:rPr>
          <w:rFonts w:ascii="Verdana" w:hAnsi="Verdana"/>
          <w:b w:val="0"/>
          <w:sz w:val="20"/>
        </w:rPr>
      </w:pPr>
    </w:p>
    <w:p w:rsidR="004F563C" w:rsidRPr="004F563C" w:rsidRDefault="00625DF4" w:rsidP="004F563C">
      <w:pPr>
        <w:pStyle w:val="Title"/>
        <w:numPr>
          <w:ilvl w:val="0"/>
          <w:numId w:val="22"/>
        </w:numPr>
        <w:tabs>
          <w:tab w:val="clear" w:pos="720"/>
          <w:tab w:val="num" w:pos="360"/>
        </w:tabs>
        <w:ind w:left="360" w:hanging="360"/>
        <w:jc w:val="both"/>
        <w:rPr>
          <w:rFonts w:ascii="Verdana" w:hAnsi="Verdana"/>
          <w:sz w:val="20"/>
        </w:rPr>
      </w:pPr>
      <w:r w:rsidRPr="004F563C">
        <w:rPr>
          <w:rFonts w:ascii="Verdana" w:hAnsi="Verdana"/>
          <w:sz w:val="20"/>
        </w:rPr>
        <w:t>Refresh Batches</w:t>
      </w:r>
    </w:p>
    <w:p w:rsidR="004F563C" w:rsidRDefault="004F563C" w:rsidP="001251E1">
      <w:pPr>
        <w:pStyle w:val="Title"/>
        <w:jc w:val="both"/>
        <w:rPr>
          <w:rFonts w:ascii="Verdana" w:hAnsi="Verdana"/>
          <w:b w:val="0"/>
          <w:sz w:val="20"/>
          <w:u w:val="single"/>
        </w:rPr>
      </w:pPr>
    </w:p>
    <w:p w:rsidR="00625DF4" w:rsidRPr="004E4263" w:rsidRDefault="00625DF4" w:rsidP="004F563C">
      <w:pPr>
        <w:pStyle w:val="Title"/>
        <w:ind w:left="360"/>
        <w:jc w:val="both"/>
        <w:rPr>
          <w:rFonts w:ascii="Verdana" w:hAnsi="Verdana"/>
          <w:b w:val="0"/>
          <w:sz w:val="20"/>
        </w:rPr>
      </w:pPr>
      <w:r w:rsidRPr="004E4263">
        <w:rPr>
          <w:rFonts w:ascii="Verdana" w:hAnsi="Verdana"/>
          <w:b w:val="0"/>
          <w:sz w:val="20"/>
        </w:rPr>
        <w:t xml:space="preserve">The </w:t>
      </w:r>
      <w:r w:rsidR="001F3067" w:rsidRPr="004E4263">
        <w:rPr>
          <w:rFonts w:ascii="Verdana" w:hAnsi="Verdana"/>
          <w:b w:val="0"/>
          <w:sz w:val="20"/>
        </w:rPr>
        <w:t>d</w:t>
      </w:r>
      <w:r w:rsidRPr="004E4263">
        <w:rPr>
          <w:rFonts w:ascii="Verdana" w:hAnsi="Verdana"/>
          <w:b w:val="0"/>
          <w:sz w:val="20"/>
        </w:rPr>
        <w:t xml:space="preserve">irect </w:t>
      </w:r>
      <w:r w:rsidR="001F3067" w:rsidRPr="004E4263">
        <w:rPr>
          <w:rFonts w:ascii="Verdana" w:hAnsi="Verdana"/>
          <w:b w:val="0"/>
          <w:sz w:val="20"/>
        </w:rPr>
        <w:t>c</w:t>
      </w:r>
      <w:r w:rsidRPr="004E4263">
        <w:rPr>
          <w:rFonts w:ascii="Verdana" w:hAnsi="Verdana"/>
          <w:b w:val="0"/>
          <w:sz w:val="20"/>
        </w:rPr>
        <w:t xml:space="preserve">are </w:t>
      </w:r>
      <w:r w:rsidR="001F3067" w:rsidRPr="004E4263">
        <w:rPr>
          <w:rFonts w:ascii="Verdana" w:hAnsi="Verdana"/>
          <w:b w:val="0"/>
          <w:sz w:val="20"/>
        </w:rPr>
        <w:t>c</w:t>
      </w:r>
      <w:r w:rsidRPr="004E4263">
        <w:rPr>
          <w:rFonts w:ascii="Verdana" w:hAnsi="Verdana"/>
          <w:b w:val="0"/>
          <w:sz w:val="20"/>
        </w:rPr>
        <w:t xml:space="preserve">ompletion </w:t>
      </w:r>
      <w:r w:rsidR="001F3067" w:rsidRPr="004E4263">
        <w:rPr>
          <w:rFonts w:ascii="Verdana" w:hAnsi="Verdana"/>
          <w:b w:val="0"/>
          <w:sz w:val="20"/>
        </w:rPr>
        <w:t>f</w:t>
      </w:r>
      <w:r w:rsidRPr="004E4263">
        <w:rPr>
          <w:rFonts w:ascii="Verdana" w:hAnsi="Verdana"/>
          <w:b w:val="0"/>
          <w:sz w:val="20"/>
        </w:rPr>
        <w:t xml:space="preserve">actors </w:t>
      </w:r>
      <w:r w:rsidR="001F3067" w:rsidRPr="004E4263">
        <w:rPr>
          <w:rFonts w:ascii="Verdana" w:hAnsi="Verdana"/>
          <w:b w:val="0"/>
          <w:sz w:val="20"/>
        </w:rPr>
        <w:t>table</w:t>
      </w:r>
      <w:r w:rsidRPr="004E4263">
        <w:rPr>
          <w:rFonts w:ascii="Verdana" w:hAnsi="Verdana"/>
          <w:b w:val="0"/>
          <w:sz w:val="20"/>
        </w:rPr>
        <w:t xml:space="preserve"> will contain all completion factors for all DMIS IDs with encounter data and WWR reports. The completion factor table must be </w:t>
      </w:r>
      <w:r w:rsidR="001F3067" w:rsidRPr="004E4263">
        <w:rPr>
          <w:rFonts w:ascii="Verdana" w:hAnsi="Verdana"/>
          <w:b w:val="0"/>
          <w:sz w:val="20"/>
        </w:rPr>
        <w:t xml:space="preserve">placed in the MDR </w:t>
      </w:r>
      <w:r w:rsidRPr="004E4263">
        <w:rPr>
          <w:rFonts w:ascii="Verdana" w:hAnsi="Verdana"/>
          <w:b w:val="0"/>
          <w:sz w:val="20"/>
        </w:rPr>
        <w:t xml:space="preserve">on the same day as a refreshing of the </w:t>
      </w:r>
      <w:r w:rsidR="001F3067" w:rsidRPr="004E4263">
        <w:rPr>
          <w:rFonts w:ascii="Verdana" w:hAnsi="Verdana"/>
          <w:b w:val="0"/>
          <w:sz w:val="20"/>
        </w:rPr>
        <w:t xml:space="preserve">SIDR and/or SADR </w:t>
      </w:r>
      <w:r w:rsidRPr="004E4263">
        <w:rPr>
          <w:rFonts w:ascii="Verdana" w:hAnsi="Verdana"/>
          <w:b w:val="0"/>
          <w:sz w:val="20"/>
        </w:rPr>
        <w:t>file to which it is linked.</w:t>
      </w:r>
    </w:p>
    <w:p w:rsidR="00625DF4" w:rsidRPr="004E4263" w:rsidRDefault="00625DF4" w:rsidP="001251E1">
      <w:pPr>
        <w:pStyle w:val="Title"/>
        <w:jc w:val="both"/>
        <w:rPr>
          <w:rFonts w:ascii="Verdana" w:hAnsi="Verdana"/>
          <w:b w:val="0"/>
          <w:sz w:val="20"/>
        </w:rPr>
      </w:pPr>
    </w:p>
    <w:p w:rsidR="00625DF4" w:rsidRPr="004F563C" w:rsidRDefault="00625DF4" w:rsidP="004F563C">
      <w:pPr>
        <w:pStyle w:val="Title"/>
        <w:numPr>
          <w:ilvl w:val="0"/>
          <w:numId w:val="22"/>
        </w:numPr>
        <w:tabs>
          <w:tab w:val="clear" w:pos="720"/>
          <w:tab w:val="num" w:pos="360"/>
        </w:tabs>
        <w:ind w:left="360" w:hanging="360"/>
        <w:jc w:val="both"/>
        <w:rPr>
          <w:rFonts w:ascii="Verdana" w:hAnsi="Verdana"/>
          <w:sz w:val="20"/>
        </w:rPr>
      </w:pPr>
      <w:r w:rsidRPr="004F563C">
        <w:rPr>
          <w:rFonts w:ascii="Verdana" w:hAnsi="Verdana"/>
          <w:sz w:val="20"/>
        </w:rPr>
        <w:t>Estimation of Completion Factors</w:t>
      </w:r>
    </w:p>
    <w:p w:rsidR="00625DF4" w:rsidRPr="004E4263" w:rsidRDefault="00625DF4" w:rsidP="001251E1">
      <w:pPr>
        <w:pStyle w:val="Title"/>
        <w:jc w:val="both"/>
        <w:rPr>
          <w:rFonts w:ascii="Verdana" w:hAnsi="Verdana"/>
          <w:b w:val="0"/>
          <w:sz w:val="20"/>
        </w:rPr>
      </w:pPr>
    </w:p>
    <w:p w:rsidR="00625DF4" w:rsidRPr="004E4263" w:rsidRDefault="00625DF4" w:rsidP="004F563C">
      <w:pPr>
        <w:pStyle w:val="Title"/>
        <w:ind w:left="360"/>
        <w:jc w:val="both"/>
        <w:rPr>
          <w:rFonts w:ascii="Verdana" w:hAnsi="Verdana"/>
          <w:b w:val="0"/>
          <w:i/>
          <w:sz w:val="20"/>
        </w:rPr>
      </w:pPr>
      <w:r w:rsidRPr="004E4263">
        <w:rPr>
          <w:rFonts w:ascii="Verdana" w:hAnsi="Verdana"/>
          <w:b w:val="0"/>
          <w:i/>
          <w:sz w:val="20"/>
        </w:rPr>
        <w:t>Completion Factors for SADRs</w:t>
      </w:r>
    </w:p>
    <w:p w:rsidR="00625DF4" w:rsidRPr="004E4263" w:rsidRDefault="00625DF4" w:rsidP="001251E1">
      <w:pPr>
        <w:pStyle w:val="Title"/>
        <w:jc w:val="both"/>
        <w:rPr>
          <w:rFonts w:ascii="Verdana" w:hAnsi="Verdana"/>
          <w:b w:val="0"/>
          <w:i/>
          <w:sz w:val="20"/>
        </w:rPr>
      </w:pPr>
    </w:p>
    <w:p w:rsidR="004F563C" w:rsidRDefault="00625DF4" w:rsidP="004F563C">
      <w:pPr>
        <w:pStyle w:val="Title"/>
        <w:numPr>
          <w:ilvl w:val="0"/>
          <w:numId w:val="1"/>
        </w:numPr>
        <w:tabs>
          <w:tab w:val="clear" w:pos="360"/>
          <w:tab w:val="num" w:pos="720"/>
        </w:tabs>
        <w:ind w:left="720"/>
        <w:jc w:val="both"/>
        <w:rPr>
          <w:rFonts w:ascii="Verdana" w:hAnsi="Verdana"/>
          <w:b w:val="0"/>
          <w:sz w:val="20"/>
        </w:rPr>
      </w:pPr>
      <w:r w:rsidRPr="004E4263">
        <w:rPr>
          <w:rFonts w:ascii="Verdana" w:hAnsi="Verdana"/>
          <w:b w:val="0"/>
          <w:sz w:val="20"/>
        </w:rPr>
        <w:t>SADRs are tabulated by month, 3</w:t>
      </w:r>
      <w:r w:rsidR="003A15D0" w:rsidRPr="004E4263">
        <w:rPr>
          <w:rFonts w:ascii="Verdana" w:hAnsi="Verdana"/>
          <w:b w:val="0"/>
          <w:sz w:val="20"/>
          <w:vertAlign w:val="superscript"/>
        </w:rPr>
        <w:t>rd</w:t>
      </w:r>
      <w:r w:rsidR="003A15D0" w:rsidRPr="004E4263">
        <w:rPr>
          <w:rFonts w:ascii="Verdana" w:hAnsi="Verdana"/>
          <w:b w:val="0"/>
          <w:sz w:val="20"/>
        </w:rPr>
        <w:t xml:space="preserve">-level </w:t>
      </w:r>
      <w:r w:rsidRPr="004E4263">
        <w:rPr>
          <w:rFonts w:ascii="Verdana" w:hAnsi="Verdana"/>
          <w:b w:val="0"/>
          <w:sz w:val="20"/>
        </w:rPr>
        <w:t>MEPRS</w:t>
      </w:r>
      <w:r w:rsidR="005161EF" w:rsidRPr="004E4263">
        <w:rPr>
          <w:rFonts w:ascii="Verdana" w:hAnsi="Verdana"/>
          <w:b w:val="0"/>
          <w:sz w:val="20"/>
        </w:rPr>
        <w:t xml:space="preserve"> (MEPRS3)</w:t>
      </w:r>
      <w:r w:rsidRPr="004E4263">
        <w:rPr>
          <w:rFonts w:ascii="Verdana" w:hAnsi="Verdana"/>
          <w:b w:val="0"/>
          <w:sz w:val="20"/>
        </w:rPr>
        <w:t>, and treatment DMIS ID, counting only those SADRS that pass the “HPA&amp;E Countable Visit Algorithm” (see appendix) and which have a “B” as the first MEPRS character</w:t>
      </w:r>
      <w:r w:rsidR="00F16E56" w:rsidRPr="004E4263">
        <w:rPr>
          <w:rFonts w:ascii="Verdana" w:hAnsi="Verdana"/>
          <w:b w:val="0"/>
          <w:sz w:val="20"/>
        </w:rPr>
        <w:t xml:space="preserve"> or are MEPRS code “FBN”</w:t>
      </w:r>
      <w:r w:rsidRPr="004E4263">
        <w:rPr>
          <w:rFonts w:ascii="Verdana" w:hAnsi="Verdana"/>
          <w:b w:val="0"/>
          <w:sz w:val="20"/>
        </w:rPr>
        <w:t>.</w:t>
      </w:r>
    </w:p>
    <w:p w:rsidR="004F563C" w:rsidRDefault="00625DF4" w:rsidP="004F563C">
      <w:pPr>
        <w:pStyle w:val="Title"/>
        <w:numPr>
          <w:ilvl w:val="0"/>
          <w:numId w:val="1"/>
        </w:numPr>
        <w:tabs>
          <w:tab w:val="clear" w:pos="360"/>
          <w:tab w:val="num" w:pos="720"/>
        </w:tabs>
        <w:ind w:left="720"/>
        <w:jc w:val="both"/>
        <w:rPr>
          <w:rFonts w:ascii="Verdana" w:hAnsi="Verdana"/>
          <w:b w:val="0"/>
          <w:sz w:val="20"/>
        </w:rPr>
      </w:pPr>
      <w:r w:rsidRPr="004E4263">
        <w:rPr>
          <w:rFonts w:ascii="Verdana" w:hAnsi="Verdana"/>
          <w:b w:val="0"/>
          <w:sz w:val="20"/>
        </w:rPr>
        <w:t xml:space="preserve">Completion </w:t>
      </w:r>
      <w:r w:rsidR="005161EF" w:rsidRPr="004E4263">
        <w:rPr>
          <w:rFonts w:ascii="Verdana" w:hAnsi="Verdana"/>
          <w:b w:val="0"/>
          <w:sz w:val="20"/>
        </w:rPr>
        <w:t>f</w:t>
      </w:r>
      <w:r w:rsidRPr="004E4263">
        <w:rPr>
          <w:rFonts w:ascii="Verdana" w:hAnsi="Verdana"/>
          <w:b w:val="0"/>
          <w:sz w:val="20"/>
        </w:rPr>
        <w:t>actors are calculated for those month/MEPRS</w:t>
      </w:r>
      <w:r w:rsidR="005161EF" w:rsidRPr="004E4263">
        <w:rPr>
          <w:rFonts w:ascii="Verdana" w:hAnsi="Verdana"/>
          <w:b w:val="0"/>
          <w:sz w:val="20"/>
        </w:rPr>
        <w:t>3</w:t>
      </w:r>
      <w:r w:rsidRPr="004E4263">
        <w:rPr>
          <w:rFonts w:ascii="Verdana" w:hAnsi="Verdana"/>
          <w:b w:val="0"/>
          <w:sz w:val="20"/>
        </w:rPr>
        <w:t>/DMIS ID combinations that have both a WWR visit count (total of both inpatient and outpatient visits) and a SADR tabulation count by dividing the latter by the former.</w:t>
      </w:r>
    </w:p>
    <w:p w:rsidR="004F563C" w:rsidRDefault="00625DF4" w:rsidP="004F563C">
      <w:pPr>
        <w:pStyle w:val="Title"/>
        <w:numPr>
          <w:ilvl w:val="0"/>
          <w:numId w:val="1"/>
        </w:numPr>
        <w:tabs>
          <w:tab w:val="clear" w:pos="360"/>
          <w:tab w:val="num" w:pos="720"/>
        </w:tabs>
        <w:ind w:left="720"/>
        <w:jc w:val="both"/>
        <w:rPr>
          <w:rFonts w:ascii="Verdana" w:hAnsi="Verdana"/>
          <w:b w:val="0"/>
          <w:sz w:val="20"/>
        </w:rPr>
      </w:pPr>
      <w:r w:rsidRPr="004E4263">
        <w:rPr>
          <w:rFonts w:ascii="Verdana" w:hAnsi="Verdana"/>
          <w:b w:val="0"/>
          <w:sz w:val="20"/>
        </w:rPr>
        <w:t>No completion factors are estimated for those month/MEPRS</w:t>
      </w:r>
      <w:r w:rsidR="005161EF" w:rsidRPr="004E4263">
        <w:rPr>
          <w:rFonts w:ascii="Verdana" w:hAnsi="Verdana"/>
          <w:b w:val="0"/>
          <w:sz w:val="20"/>
        </w:rPr>
        <w:t>3</w:t>
      </w:r>
      <w:r w:rsidRPr="004E4263">
        <w:rPr>
          <w:rFonts w:ascii="Verdana" w:hAnsi="Verdana"/>
          <w:b w:val="0"/>
          <w:sz w:val="20"/>
        </w:rPr>
        <w:t>/DMIS ID combinations where the first character of the MEPR</w:t>
      </w:r>
      <w:r w:rsidR="001F3067" w:rsidRPr="004E4263">
        <w:rPr>
          <w:rFonts w:ascii="Verdana" w:hAnsi="Verdana"/>
          <w:b w:val="0"/>
          <w:sz w:val="20"/>
        </w:rPr>
        <w:t>S</w:t>
      </w:r>
      <w:r w:rsidRPr="004E4263">
        <w:rPr>
          <w:rFonts w:ascii="Verdana" w:hAnsi="Verdana"/>
          <w:b w:val="0"/>
          <w:sz w:val="20"/>
        </w:rPr>
        <w:t xml:space="preserve"> code is not “B”</w:t>
      </w:r>
      <w:r w:rsidR="00F16E56" w:rsidRPr="004E4263">
        <w:rPr>
          <w:rFonts w:ascii="Verdana" w:hAnsi="Verdana"/>
          <w:b w:val="0"/>
          <w:sz w:val="20"/>
        </w:rPr>
        <w:t xml:space="preserve"> or “FBN”</w:t>
      </w:r>
      <w:r w:rsidRPr="004E4263">
        <w:rPr>
          <w:rFonts w:ascii="Verdana" w:hAnsi="Verdana"/>
          <w:b w:val="0"/>
          <w:sz w:val="20"/>
        </w:rPr>
        <w:t xml:space="preserve">. The completion factor will be zero for any B** </w:t>
      </w:r>
      <w:r w:rsidR="00F16E56" w:rsidRPr="004E4263">
        <w:rPr>
          <w:rFonts w:ascii="Verdana" w:hAnsi="Verdana"/>
          <w:b w:val="0"/>
          <w:sz w:val="20"/>
        </w:rPr>
        <w:t xml:space="preserve">or FBN </w:t>
      </w:r>
      <w:r w:rsidRPr="004E4263">
        <w:rPr>
          <w:rFonts w:ascii="Verdana" w:hAnsi="Verdana"/>
          <w:b w:val="0"/>
          <w:sz w:val="20"/>
        </w:rPr>
        <w:t>code that has a WWR count but no tabulated S</w:t>
      </w:r>
      <w:r w:rsidR="001F3067" w:rsidRPr="004E4263">
        <w:rPr>
          <w:rFonts w:ascii="Verdana" w:hAnsi="Verdana"/>
          <w:b w:val="0"/>
          <w:sz w:val="20"/>
        </w:rPr>
        <w:t>ADRs.</w:t>
      </w:r>
    </w:p>
    <w:p w:rsidR="00625DF4" w:rsidRPr="004E4263" w:rsidRDefault="00625DF4" w:rsidP="004F563C">
      <w:pPr>
        <w:pStyle w:val="Title"/>
        <w:numPr>
          <w:ilvl w:val="0"/>
          <w:numId w:val="1"/>
        </w:numPr>
        <w:tabs>
          <w:tab w:val="clear" w:pos="360"/>
          <w:tab w:val="num" w:pos="720"/>
        </w:tabs>
        <w:ind w:left="720"/>
        <w:jc w:val="both"/>
        <w:rPr>
          <w:rFonts w:ascii="Verdana" w:hAnsi="Verdana"/>
          <w:b w:val="0"/>
          <w:sz w:val="20"/>
        </w:rPr>
      </w:pPr>
      <w:r w:rsidRPr="004E4263">
        <w:rPr>
          <w:rFonts w:ascii="Verdana" w:hAnsi="Verdana"/>
          <w:b w:val="0"/>
          <w:sz w:val="20"/>
        </w:rPr>
        <w:t>For those combinations that have a tabulated SADR count but no WWR workload count, the completion factor is estimated as follows:</w:t>
      </w:r>
    </w:p>
    <w:p w:rsidR="004F563C" w:rsidRDefault="00625DF4" w:rsidP="004F563C">
      <w:pPr>
        <w:pStyle w:val="Title"/>
        <w:numPr>
          <w:ilvl w:val="0"/>
          <w:numId w:val="2"/>
        </w:numPr>
        <w:tabs>
          <w:tab w:val="clear" w:pos="360"/>
          <w:tab w:val="num" w:pos="1080"/>
        </w:tabs>
        <w:ind w:left="1080"/>
        <w:jc w:val="both"/>
        <w:rPr>
          <w:rFonts w:ascii="Verdana" w:hAnsi="Verdana"/>
          <w:b w:val="0"/>
          <w:sz w:val="20"/>
        </w:rPr>
      </w:pPr>
      <w:r w:rsidRPr="004E4263">
        <w:rPr>
          <w:rFonts w:ascii="Verdana" w:hAnsi="Verdana"/>
          <w:b w:val="0"/>
          <w:sz w:val="20"/>
        </w:rPr>
        <w:t xml:space="preserve">The </w:t>
      </w:r>
      <w:r w:rsidRPr="004E4263">
        <w:rPr>
          <w:rFonts w:ascii="Verdana" w:hAnsi="Verdana"/>
          <w:b w:val="0"/>
          <w:i/>
          <w:sz w:val="20"/>
        </w:rPr>
        <w:t xml:space="preserve">preceding </w:t>
      </w:r>
      <w:proofErr w:type="spellStart"/>
      <w:r w:rsidRPr="004E4263">
        <w:rPr>
          <w:rFonts w:ascii="Verdana" w:hAnsi="Verdana"/>
          <w:b w:val="0"/>
          <w:i/>
          <w:sz w:val="20"/>
        </w:rPr>
        <w:t>month’s</w:t>
      </w:r>
      <w:proofErr w:type="spellEnd"/>
      <w:r w:rsidRPr="004E4263">
        <w:rPr>
          <w:rFonts w:ascii="Verdana" w:hAnsi="Verdana"/>
          <w:b w:val="0"/>
          <w:sz w:val="20"/>
        </w:rPr>
        <w:t xml:space="preserve"> and the </w:t>
      </w:r>
      <w:r w:rsidRPr="004E4263">
        <w:rPr>
          <w:rFonts w:ascii="Verdana" w:hAnsi="Verdana"/>
          <w:b w:val="0"/>
          <w:i/>
          <w:sz w:val="20"/>
        </w:rPr>
        <w:t xml:space="preserve">estimation month’s </w:t>
      </w:r>
      <w:r w:rsidRPr="004E4263">
        <w:rPr>
          <w:rFonts w:ascii="Verdana" w:hAnsi="Verdana"/>
          <w:b w:val="0"/>
          <w:sz w:val="20"/>
        </w:rPr>
        <w:t xml:space="preserve">worldwide average completion factor is found by dividing the total number of tabulated SADRs from </w:t>
      </w:r>
      <w:r w:rsidR="001F3067" w:rsidRPr="004E4263">
        <w:rPr>
          <w:rFonts w:ascii="Verdana" w:hAnsi="Verdana"/>
          <w:b w:val="0"/>
          <w:sz w:val="20"/>
        </w:rPr>
        <w:t xml:space="preserve">MEPRS codes </w:t>
      </w:r>
      <w:r w:rsidRPr="004E4263">
        <w:rPr>
          <w:rFonts w:ascii="Verdana" w:hAnsi="Verdana"/>
          <w:b w:val="0"/>
          <w:sz w:val="20"/>
        </w:rPr>
        <w:t xml:space="preserve">with WWR workload, by the total amount of WWR workload from </w:t>
      </w:r>
      <w:r w:rsidR="001F3067" w:rsidRPr="004E4263">
        <w:rPr>
          <w:rFonts w:ascii="Verdana" w:hAnsi="Verdana"/>
          <w:b w:val="0"/>
          <w:sz w:val="20"/>
        </w:rPr>
        <w:t>MEPRS codes</w:t>
      </w:r>
      <w:r w:rsidRPr="004E4263">
        <w:rPr>
          <w:rFonts w:ascii="Verdana" w:hAnsi="Verdana"/>
          <w:b w:val="0"/>
          <w:sz w:val="20"/>
        </w:rPr>
        <w:t xml:space="preserve"> with tabulated SADRs (for each month separately). These are labeled </w:t>
      </w:r>
      <w:r w:rsidRPr="004E4263">
        <w:rPr>
          <w:rFonts w:ascii="Verdana" w:hAnsi="Verdana"/>
          <w:b w:val="0"/>
          <w:i/>
          <w:sz w:val="20"/>
        </w:rPr>
        <w:t>AVERAGE</w:t>
      </w:r>
      <w:r w:rsidRPr="004E4263">
        <w:rPr>
          <w:rFonts w:ascii="Verdana" w:hAnsi="Verdana"/>
          <w:b w:val="0"/>
          <w:sz w:val="20"/>
          <w:vertAlign w:val="subscript"/>
        </w:rPr>
        <w:t>0</w:t>
      </w:r>
      <w:r w:rsidRPr="004E4263">
        <w:rPr>
          <w:rFonts w:ascii="Verdana" w:hAnsi="Verdana"/>
          <w:b w:val="0"/>
          <w:sz w:val="20"/>
        </w:rPr>
        <w:t xml:space="preserve"> and </w:t>
      </w:r>
      <w:r w:rsidRPr="004E4263">
        <w:rPr>
          <w:rFonts w:ascii="Verdana" w:hAnsi="Verdana"/>
          <w:b w:val="0"/>
          <w:i/>
          <w:sz w:val="20"/>
        </w:rPr>
        <w:t>AVERAGE</w:t>
      </w:r>
      <w:r w:rsidRPr="004E4263">
        <w:rPr>
          <w:rFonts w:ascii="Verdana" w:hAnsi="Verdana"/>
          <w:b w:val="0"/>
          <w:sz w:val="20"/>
          <w:vertAlign w:val="subscript"/>
        </w:rPr>
        <w:t>1</w:t>
      </w:r>
      <w:r w:rsidRPr="004E4263">
        <w:rPr>
          <w:rFonts w:ascii="Verdana" w:hAnsi="Verdana"/>
          <w:b w:val="0"/>
          <w:sz w:val="20"/>
        </w:rPr>
        <w:t xml:space="preserve"> in the formula </w:t>
      </w:r>
      <w:r w:rsidRPr="004E4263">
        <w:rPr>
          <w:rFonts w:ascii="Verdana" w:hAnsi="Verdana"/>
          <w:b w:val="0"/>
          <w:sz w:val="20"/>
        </w:rPr>
        <w:lastRenderedPageBreak/>
        <w:t>below. If there is an initial month for which there is no previous month of worldwide data, the contemporary average (</w:t>
      </w:r>
      <w:r w:rsidRPr="004E4263">
        <w:rPr>
          <w:rFonts w:ascii="Verdana" w:hAnsi="Verdana"/>
          <w:b w:val="0"/>
          <w:i/>
          <w:sz w:val="20"/>
        </w:rPr>
        <w:t>AVERAGE</w:t>
      </w:r>
      <w:r w:rsidRPr="004E4263">
        <w:rPr>
          <w:rFonts w:ascii="Verdana" w:hAnsi="Verdana"/>
          <w:b w:val="0"/>
          <w:sz w:val="20"/>
          <w:vertAlign w:val="subscript"/>
        </w:rPr>
        <w:t>1</w:t>
      </w:r>
      <w:r w:rsidRPr="004E4263">
        <w:rPr>
          <w:rFonts w:ascii="Verdana" w:hAnsi="Verdana"/>
          <w:b w:val="0"/>
          <w:sz w:val="20"/>
        </w:rPr>
        <w:t xml:space="preserve">) will be used as the estimate for the </w:t>
      </w:r>
      <w:r w:rsidR="001F3067" w:rsidRPr="004E4263">
        <w:rPr>
          <w:rFonts w:ascii="Verdana" w:hAnsi="Verdana"/>
          <w:b w:val="0"/>
          <w:sz w:val="20"/>
        </w:rPr>
        <w:t>month/MEPRS</w:t>
      </w:r>
      <w:r w:rsidR="005161EF" w:rsidRPr="004E4263">
        <w:rPr>
          <w:rFonts w:ascii="Verdana" w:hAnsi="Verdana"/>
          <w:b w:val="0"/>
          <w:sz w:val="20"/>
        </w:rPr>
        <w:t>3</w:t>
      </w:r>
      <w:r w:rsidR="001F3067" w:rsidRPr="004E4263">
        <w:rPr>
          <w:rFonts w:ascii="Verdana" w:hAnsi="Verdana"/>
          <w:b w:val="0"/>
          <w:sz w:val="20"/>
        </w:rPr>
        <w:t xml:space="preserve">/DMIS ID </w:t>
      </w:r>
      <w:r w:rsidRPr="004E4263">
        <w:rPr>
          <w:rFonts w:ascii="Verdana" w:hAnsi="Verdana"/>
          <w:b w:val="0"/>
          <w:sz w:val="20"/>
        </w:rPr>
        <w:t>combination.</w:t>
      </w:r>
    </w:p>
    <w:p w:rsidR="004F563C" w:rsidRDefault="00625DF4" w:rsidP="004F563C">
      <w:pPr>
        <w:pStyle w:val="Title"/>
        <w:numPr>
          <w:ilvl w:val="0"/>
          <w:numId w:val="2"/>
        </w:numPr>
        <w:tabs>
          <w:tab w:val="clear" w:pos="360"/>
          <w:tab w:val="num" w:pos="1080"/>
        </w:tabs>
        <w:ind w:left="1080"/>
        <w:jc w:val="both"/>
        <w:rPr>
          <w:rFonts w:ascii="Verdana" w:hAnsi="Verdana"/>
          <w:b w:val="0"/>
          <w:sz w:val="20"/>
        </w:rPr>
      </w:pPr>
      <w:r w:rsidRPr="004E4263">
        <w:rPr>
          <w:rFonts w:ascii="Verdana" w:hAnsi="Verdana"/>
          <w:b w:val="0"/>
          <w:sz w:val="20"/>
        </w:rPr>
        <w:t xml:space="preserve">The completion factor for the previous month for the </w:t>
      </w:r>
      <w:r w:rsidR="001F3067" w:rsidRPr="004E4263">
        <w:rPr>
          <w:rFonts w:ascii="Verdana" w:hAnsi="Verdana"/>
          <w:b w:val="0"/>
          <w:sz w:val="20"/>
        </w:rPr>
        <w:t>month/MEP</w:t>
      </w:r>
      <w:r w:rsidR="005161EF" w:rsidRPr="004E4263">
        <w:rPr>
          <w:rFonts w:ascii="Verdana" w:hAnsi="Verdana"/>
          <w:b w:val="0"/>
          <w:sz w:val="20"/>
        </w:rPr>
        <w:t>R</w:t>
      </w:r>
      <w:r w:rsidR="001F3067" w:rsidRPr="004E4263">
        <w:rPr>
          <w:rFonts w:ascii="Verdana" w:hAnsi="Verdana"/>
          <w:b w:val="0"/>
          <w:sz w:val="20"/>
        </w:rPr>
        <w:t>S</w:t>
      </w:r>
      <w:r w:rsidR="005161EF" w:rsidRPr="004E4263">
        <w:rPr>
          <w:rFonts w:ascii="Verdana" w:hAnsi="Verdana"/>
          <w:b w:val="0"/>
          <w:sz w:val="20"/>
        </w:rPr>
        <w:t>3</w:t>
      </w:r>
      <w:r w:rsidR="001F3067" w:rsidRPr="004E4263">
        <w:rPr>
          <w:rFonts w:ascii="Verdana" w:hAnsi="Verdana"/>
          <w:b w:val="0"/>
          <w:sz w:val="20"/>
        </w:rPr>
        <w:t xml:space="preserve">/DMIS ID </w:t>
      </w:r>
      <w:r w:rsidRPr="004E4263">
        <w:rPr>
          <w:rFonts w:ascii="Verdana" w:hAnsi="Verdana"/>
          <w:b w:val="0"/>
          <w:sz w:val="20"/>
        </w:rPr>
        <w:t xml:space="preserve">combination </w:t>
      </w:r>
      <w:r w:rsidR="001F3067" w:rsidRPr="004E4263">
        <w:rPr>
          <w:rFonts w:ascii="Verdana" w:hAnsi="Verdana"/>
          <w:b w:val="0"/>
          <w:sz w:val="20"/>
        </w:rPr>
        <w:t>t</w:t>
      </w:r>
      <w:r w:rsidRPr="004E4263">
        <w:rPr>
          <w:rFonts w:ascii="Verdana" w:hAnsi="Verdana"/>
          <w:b w:val="0"/>
          <w:sz w:val="20"/>
        </w:rPr>
        <w:t xml:space="preserve">o be estimated is retrieved or calculated. This is labeled </w:t>
      </w:r>
      <w:r w:rsidRPr="004E4263">
        <w:rPr>
          <w:rFonts w:ascii="Verdana" w:hAnsi="Verdana"/>
          <w:b w:val="0"/>
          <w:i/>
          <w:sz w:val="20"/>
        </w:rPr>
        <w:t>PREVIOUS</w:t>
      </w:r>
      <w:r w:rsidR="001F3067" w:rsidRPr="004E4263">
        <w:rPr>
          <w:rFonts w:ascii="Verdana" w:hAnsi="Verdana"/>
          <w:b w:val="0"/>
          <w:sz w:val="20"/>
        </w:rPr>
        <w:t xml:space="preserve"> in the formula below.</w:t>
      </w:r>
    </w:p>
    <w:p w:rsidR="00625DF4" w:rsidRPr="004E4263" w:rsidRDefault="00625DF4" w:rsidP="004F563C">
      <w:pPr>
        <w:pStyle w:val="Title"/>
        <w:numPr>
          <w:ilvl w:val="0"/>
          <w:numId w:val="2"/>
        </w:numPr>
        <w:tabs>
          <w:tab w:val="clear" w:pos="360"/>
          <w:tab w:val="num" w:pos="1080"/>
        </w:tabs>
        <w:ind w:left="1080"/>
        <w:jc w:val="both"/>
        <w:rPr>
          <w:rFonts w:ascii="Verdana" w:hAnsi="Verdana"/>
          <w:b w:val="0"/>
          <w:sz w:val="20"/>
        </w:rPr>
      </w:pPr>
      <w:r w:rsidRPr="004E4263">
        <w:rPr>
          <w:rFonts w:ascii="Verdana" w:hAnsi="Verdana"/>
          <w:b w:val="0"/>
          <w:sz w:val="20"/>
        </w:rPr>
        <w:t>The estimate is calculated by:</w:t>
      </w:r>
    </w:p>
    <w:p w:rsidR="00625DF4" w:rsidRPr="004E4263" w:rsidRDefault="00625DF4" w:rsidP="001251E1">
      <w:pPr>
        <w:pStyle w:val="Title"/>
        <w:jc w:val="both"/>
        <w:rPr>
          <w:rFonts w:ascii="Verdana" w:hAnsi="Verdana"/>
          <w:b w:val="0"/>
          <w:sz w:val="20"/>
        </w:rPr>
      </w:pPr>
    </w:p>
    <w:p w:rsidR="00625DF4" w:rsidRPr="004E4263" w:rsidRDefault="00625DF4" w:rsidP="004F563C">
      <w:pPr>
        <w:pStyle w:val="Title"/>
        <w:ind w:left="1080"/>
        <w:jc w:val="both"/>
        <w:rPr>
          <w:rFonts w:ascii="Verdana" w:hAnsi="Verdana"/>
          <w:b w:val="0"/>
          <w:sz w:val="20"/>
        </w:rPr>
      </w:pPr>
      <w:r w:rsidRPr="004E4263">
        <w:rPr>
          <w:rFonts w:ascii="Verdana" w:hAnsi="Verdana"/>
          <w:b w:val="0"/>
          <w:i/>
          <w:sz w:val="20"/>
        </w:rPr>
        <w:t>ESTIMATE</w:t>
      </w:r>
      <w:r w:rsidRPr="004E4263">
        <w:rPr>
          <w:rFonts w:ascii="Verdana" w:hAnsi="Verdana"/>
          <w:b w:val="0"/>
          <w:sz w:val="20"/>
        </w:rPr>
        <w:t xml:space="preserve"> = (</w:t>
      </w:r>
      <w:r w:rsidRPr="004E4263">
        <w:rPr>
          <w:rFonts w:ascii="Verdana" w:hAnsi="Verdana"/>
          <w:b w:val="0"/>
          <w:i/>
          <w:sz w:val="20"/>
        </w:rPr>
        <w:t>PREVIOUS</w:t>
      </w:r>
      <w:r w:rsidRPr="004E4263">
        <w:rPr>
          <w:rFonts w:ascii="Verdana" w:hAnsi="Verdana"/>
          <w:b w:val="0"/>
          <w:sz w:val="20"/>
        </w:rPr>
        <w:t>)</w:t>
      </w:r>
      <w:r w:rsidR="001F3067" w:rsidRPr="004E4263">
        <w:rPr>
          <w:rFonts w:ascii="Verdana" w:hAnsi="Verdana"/>
          <w:b w:val="0"/>
          <w:sz w:val="20"/>
        </w:rPr>
        <w:t xml:space="preserve"> </w:t>
      </w:r>
      <w:r w:rsidRPr="004E4263">
        <w:rPr>
          <w:rFonts w:ascii="Verdana" w:hAnsi="Verdana"/>
          <w:b w:val="0"/>
          <w:sz w:val="20"/>
        </w:rPr>
        <w:t>* (</w:t>
      </w:r>
      <w:r w:rsidRPr="004E4263">
        <w:rPr>
          <w:rFonts w:ascii="Verdana" w:hAnsi="Verdana"/>
          <w:b w:val="0"/>
          <w:i/>
          <w:sz w:val="20"/>
        </w:rPr>
        <w:t>AVERAGE</w:t>
      </w:r>
      <w:r w:rsidRPr="004E4263">
        <w:rPr>
          <w:rFonts w:ascii="Verdana" w:hAnsi="Verdana"/>
          <w:b w:val="0"/>
          <w:sz w:val="20"/>
          <w:vertAlign w:val="subscript"/>
        </w:rPr>
        <w:t>1</w:t>
      </w:r>
      <w:r w:rsidRPr="004E4263">
        <w:rPr>
          <w:rFonts w:ascii="Verdana" w:hAnsi="Verdana"/>
          <w:b w:val="0"/>
          <w:sz w:val="20"/>
        </w:rPr>
        <w:t>)</w:t>
      </w:r>
      <w:r w:rsidR="00910B0F" w:rsidRPr="004E4263">
        <w:rPr>
          <w:rFonts w:ascii="Verdana" w:hAnsi="Verdana"/>
          <w:b w:val="0"/>
          <w:sz w:val="20"/>
        </w:rPr>
        <w:t xml:space="preserve"> </w:t>
      </w:r>
      <w:r w:rsidRPr="004E4263">
        <w:rPr>
          <w:rFonts w:ascii="Verdana" w:hAnsi="Verdana"/>
          <w:b w:val="0"/>
          <w:sz w:val="20"/>
        </w:rPr>
        <w:t>/</w:t>
      </w:r>
      <w:r w:rsidR="00910B0F" w:rsidRPr="004E4263">
        <w:rPr>
          <w:rFonts w:ascii="Verdana" w:hAnsi="Verdana"/>
          <w:b w:val="0"/>
          <w:sz w:val="20"/>
        </w:rPr>
        <w:t xml:space="preserve"> </w:t>
      </w:r>
      <w:r w:rsidRPr="004E4263">
        <w:rPr>
          <w:rFonts w:ascii="Verdana" w:hAnsi="Verdana"/>
          <w:b w:val="0"/>
          <w:sz w:val="20"/>
        </w:rPr>
        <w:t>(</w:t>
      </w:r>
      <w:r w:rsidRPr="004E4263">
        <w:rPr>
          <w:rFonts w:ascii="Verdana" w:hAnsi="Verdana"/>
          <w:b w:val="0"/>
          <w:i/>
          <w:sz w:val="20"/>
        </w:rPr>
        <w:t>AVERAGE</w:t>
      </w:r>
      <w:r w:rsidRPr="004E4263">
        <w:rPr>
          <w:rFonts w:ascii="Verdana" w:hAnsi="Verdana"/>
          <w:b w:val="0"/>
          <w:sz w:val="20"/>
          <w:vertAlign w:val="subscript"/>
        </w:rPr>
        <w:t>0</w:t>
      </w:r>
      <w:r w:rsidRPr="004E4263">
        <w:rPr>
          <w:rFonts w:ascii="Verdana" w:hAnsi="Verdana"/>
          <w:b w:val="0"/>
          <w:sz w:val="20"/>
        </w:rPr>
        <w:t>)</w:t>
      </w:r>
    </w:p>
    <w:p w:rsidR="00625DF4" w:rsidRPr="004E4263" w:rsidRDefault="00625DF4" w:rsidP="001251E1">
      <w:pPr>
        <w:pStyle w:val="Title"/>
        <w:jc w:val="both"/>
        <w:rPr>
          <w:rFonts w:ascii="Verdana" w:hAnsi="Verdana"/>
          <w:b w:val="0"/>
          <w:sz w:val="20"/>
        </w:rPr>
      </w:pPr>
    </w:p>
    <w:p w:rsidR="00625DF4" w:rsidRPr="004E4263" w:rsidRDefault="00625DF4" w:rsidP="004F563C">
      <w:pPr>
        <w:pStyle w:val="Title"/>
        <w:numPr>
          <w:ilvl w:val="0"/>
          <w:numId w:val="3"/>
        </w:numPr>
        <w:tabs>
          <w:tab w:val="clear" w:pos="360"/>
          <w:tab w:val="num" w:pos="1080"/>
        </w:tabs>
        <w:ind w:left="1080"/>
        <w:jc w:val="both"/>
        <w:rPr>
          <w:rFonts w:ascii="Verdana" w:hAnsi="Verdana"/>
          <w:b w:val="0"/>
          <w:sz w:val="20"/>
        </w:rPr>
      </w:pPr>
      <w:r w:rsidRPr="004E4263">
        <w:rPr>
          <w:rFonts w:ascii="Verdana" w:hAnsi="Verdana"/>
          <w:b w:val="0"/>
          <w:sz w:val="20"/>
        </w:rPr>
        <w:t>If an estimate is greater than 100%, 100% will be used instead.</w:t>
      </w:r>
    </w:p>
    <w:p w:rsidR="00625DF4" w:rsidRPr="004E4263" w:rsidRDefault="00625DF4" w:rsidP="001251E1">
      <w:pPr>
        <w:pStyle w:val="Title"/>
        <w:jc w:val="both"/>
        <w:rPr>
          <w:rFonts w:ascii="Verdana" w:hAnsi="Verdana"/>
          <w:b w:val="0"/>
          <w:sz w:val="20"/>
        </w:rPr>
      </w:pPr>
    </w:p>
    <w:p w:rsidR="004F563C" w:rsidRDefault="00625DF4" w:rsidP="004F563C">
      <w:pPr>
        <w:pStyle w:val="Title"/>
        <w:numPr>
          <w:ilvl w:val="0"/>
          <w:numId w:val="1"/>
        </w:numPr>
        <w:tabs>
          <w:tab w:val="clear" w:pos="360"/>
          <w:tab w:val="num" w:pos="720"/>
        </w:tabs>
        <w:ind w:left="720"/>
        <w:jc w:val="both"/>
        <w:rPr>
          <w:rFonts w:ascii="Verdana" w:hAnsi="Verdana"/>
          <w:b w:val="0"/>
          <w:sz w:val="20"/>
        </w:rPr>
      </w:pPr>
      <w:r w:rsidRPr="004E4263">
        <w:rPr>
          <w:rFonts w:ascii="Verdana" w:hAnsi="Verdana"/>
          <w:b w:val="0"/>
          <w:sz w:val="20"/>
        </w:rPr>
        <w:t>All month’s more current than the WWR feed will not have estimated completion factors, but will be present in the table (see format below) filled with “0”.</w:t>
      </w:r>
    </w:p>
    <w:p w:rsidR="005161EF" w:rsidRPr="004E4263" w:rsidRDefault="005161EF" w:rsidP="004F563C">
      <w:pPr>
        <w:pStyle w:val="Title"/>
        <w:numPr>
          <w:ilvl w:val="0"/>
          <w:numId w:val="1"/>
        </w:numPr>
        <w:tabs>
          <w:tab w:val="clear" w:pos="360"/>
          <w:tab w:val="num" w:pos="720"/>
        </w:tabs>
        <w:ind w:left="720"/>
        <w:jc w:val="both"/>
        <w:rPr>
          <w:rFonts w:ascii="Verdana" w:hAnsi="Verdana"/>
          <w:b w:val="0"/>
          <w:sz w:val="20"/>
        </w:rPr>
      </w:pPr>
      <w:r w:rsidRPr="004E4263">
        <w:rPr>
          <w:rFonts w:ascii="Verdana" w:hAnsi="Verdana"/>
          <w:b w:val="0"/>
          <w:sz w:val="20"/>
        </w:rPr>
        <w:t>Any completion factor less than 0.4 is changed to “0”.</w:t>
      </w:r>
    </w:p>
    <w:p w:rsidR="00625DF4" w:rsidRPr="004E4263" w:rsidRDefault="00625DF4" w:rsidP="001251E1">
      <w:pPr>
        <w:pStyle w:val="Title"/>
        <w:jc w:val="both"/>
        <w:rPr>
          <w:rFonts w:ascii="Verdana" w:hAnsi="Verdana"/>
          <w:b w:val="0"/>
          <w:sz w:val="20"/>
        </w:rPr>
      </w:pPr>
    </w:p>
    <w:p w:rsidR="00625DF4" w:rsidRPr="004E4263" w:rsidRDefault="00625DF4" w:rsidP="001251E1">
      <w:pPr>
        <w:pStyle w:val="Title"/>
        <w:jc w:val="both"/>
        <w:rPr>
          <w:rFonts w:ascii="Verdana" w:hAnsi="Verdana"/>
          <w:b w:val="0"/>
          <w:i/>
          <w:sz w:val="20"/>
        </w:rPr>
      </w:pPr>
      <w:r w:rsidRPr="004E4263">
        <w:rPr>
          <w:rFonts w:ascii="Verdana" w:hAnsi="Verdana"/>
          <w:b w:val="0"/>
          <w:i/>
          <w:sz w:val="20"/>
        </w:rPr>
        <w:t>Completion Factors for SIDRs</w:t>
      </w:r>
    </w:p>
    <w:p w:rsidR="00625DF4" w:rsidRPr="004F563C" w:rsidRDefault="00625DF4" w:rsidP="001251E1">
      <w:pPr>
        <w:pStyle w:val="Title"/>
        <w:jc w:val="both"/>
        <w:rPr>
          <w:rFonts w:ascii="Verdana" w:hAnsi="Verdana"/>
          <w:b w:val="0"/>
          <w:sz w:val="20"/>
        </w:rPr>
      </w:pPr>
    </w:p>
    <w:p w:rsidR="004F563C" w:rsidRDefault="00625DF4" w:rsidP="004F563C">
      <w:pPr>
        <w:pStyle w:val="Title"/>
        <w:numPr>
          <w:ilvl w:val="0"/>
          <w:numId w:val="14"/>
        </w:numPr>
        <w:tabs>
          <w:tab w:val="clear" w:pos="360"/>
          <w:tab w:val="num" w:pos="720"/>
        </w:tabs>
        <w:ind w:left="720"/>
        <w:jc w:val="both"/>
        <w:rPr>
          <w:rFonts w:ascii="Verdana" w:hAnsi="Verdana"/>
          <w:b w:val="0"/>
          <w:sz w:val="20"/>
        </w:rPr>
      </w:pPr>
      <w:r w:rsidRPr="004E4263">
        <w:rPr>
          <w:rFonts w:ascii="Verdana" w:hAnsi="Verdana"/>
          <w:b w:val="0"/>
          <w:sz w:val="20"/>
        </w:rPr>
        <w:t>SIDRs are tabulated by month and treatment DMIS ID</w:t>
      </w:r>
      <w:r w:rsidR="001F3067" w:rsidRPr="004E4263">
        <w:rPr>
          <w:rFonts w:ascii="Verdana" w:hAnsi="Verdana"/>
          <w:b w:val="0"/>
          <w:sz w:val="20"/>
        </w:rPr>
        <w:t xml:space="preserve"> (MTF)</w:t>
      </w:r>
      <w:r w:rsidRPr="004E4263">
        <w:rPr>
          <w:rFonts w:ascii="Verdana" w:hAnsi="Verdana"/>
          <w:b w:val="0"/>
          <w:sz w:val="20"/>
        </w:rPr>
        <w:t xml:space="preserve">, counting only those SIDRS which qualify for inclusion in the </w:t>
      </w:r>
      <w:r w:rsidR="001F3067" w:rsidRPr="004E4263">
        <w:rPr>
          <w:rFonts w:ascii="Verdana" w:hAnsi="Verdana"/>
          <w:b w:val="0"/>
          <w:sz w:val="20"/>
        </w:rPr>
        <w:t>MDR</w:t>
      </w:r>
      <w:r w:rsidRPr="004E4263">
        <w:rPr>
          <w:rFonts w:ascii="Verdana" w:hAnsi="Verdana"/>
          <w:b w:val="0"/>
          <w:sz w:val="20"/>
        </w:rPr>
        <w:t>. Generally, these SIDRs are completed records (“D records”) for care delivered at the MTF (as opposed to “absent sick” or “carded for record only”).</w:t>
      </w:r>
    </w:p>
    <w:p w:rsidR="004F563C" w:rsidRDefault="00F16E56" w:rsidP="004F563C">
      <w:pPr>
        <w:pStyle w:val="Title"/>
        <w:numPr>
          <w:ilvl w:val="0"/>
          <w:numId w:val="14"/>
        </w:numPr>
        <w:tabs>
          <w:tab w:val="clear" w:pos="360"/>
          <w:tab w:val="num" w:pos="720"/>
        </w:tabs>
        <w:ind w:left="720"/>
        <w:jc w:val="both"/>
        <w:rPr>
          <w:rFonts w:ascii="Verdana" w:hAnsi="Verdana"/>
          <w:b w:val="0"/>
          <w:sz w:val="20"/>
        </w:rPr>
      </w:pPr>
      <w:r w:rsidRPr="004E4263">
        <w:rPr>
          <w:rFonts w:ascii="Verdana" w:hAnsi="Verdana"/>
          <w:b w:val="0"/>
          <w:sz w:val="20"/>
        </w:rPr>
        <w:t xml:space="preserve">The Disposition </w:t>
      </w:r>
      <w:r w:rsidR="00625DF4" w:rsidRPr="004E4263">
        <w:rPr>
          <w:rFonts w:ascii="Verdana" w:hAnsi="Verdana"/>
          <w:b w:val="0"/>
          <w:sz w:val="20"/>
        </w:rPr>
        <w:t xml:space="preserve">Completion Factors </w:t>
      </w:r>
      <w:r w:rsidR="00787FE8" w:rsidRPr="004E4263">
        <w:rPr>
          <w:rFonts w:ascii="Verdana" w:hAnsi="Verdana"/>
          <w:b w:val="0"/>
          <w:sz w:val="20"/>
        </w:rPr>
        <w:t>(</w:t>
      </w:r>
      <w:proofErr w:type="spellStart"/>
      <w:r w:rsidR="00787FE8" w:rsidRPr="004E4263">
        <w:rPr>
          <w:rFonts w:ascii="Verdana" w:hAnsi="Verdana"/>
          <w:b w:val="0"/>
          <w:sz w:val="20"/>
        </w:rPr>
        <w:t>Disp</w:t>
      </w:r>
      <w:proofErr w:type="spellEnd"/>
      <w:r w:rsidR="00787FE8" w:rsidRPr="004E4263">
        <w:rPr>
          <w:rFonts w:ascii="Verdana" w:hAnsi="Verdana"/>
          <w:b w:val="0"/>
          <w:sz w:val="20"/>
        </w:rPr>
        <w:t xml:space="preserve"> CFs) </w:t>
      </w:r>
      <w:r w:rsidR="00625DF4" w:rsidRPr="004E4263">
        <w:rPr>
          <w:rFonts w:ascii="Verdana" w:hAnsi="Verdana"/>
          <w:b w:val="0"/>
          <w:sz w:val="20"/>
        </w:rPr>
        <w:t>are calculated for those month/</w:t>
      </w:r>
      <w:r w:rsidR="001F3067" w:rsidRPr="004E4263">
        <w:rPr>
          <w:rFonts w:ascii="Verdana" w:hAnsi="Verdana"/>
          <w:b w:val="0"/>
          <w:sz w:val="20"/>
        </w:rPr>
        <w:t>MTF</w:t>
      </w:r>
      <w:r w:rsidR="00625DF4" w:rsidRPr="004E4263">
        <w:rPr>
          <w:rFonts w:ascii="Verdana" w:hAnsi="Verdana"/>
          <w:b w:val="0"/>
          <w:sz w:val="20"/>
        </w:rPr>
        <w:t xml:space="preserve"> combinations that have both a WWR disposition count (if no disposition count is available, the admission count must be used) and a SIDR tabulation count by dividing the latter by the former.</w:t>
      </w:r>
    </w:p>
    <w:p w:rsidR="00625DF4" w:rsidRPr="004E4263" w:rsidRDefault="00625DF4" w:rsidP="004F563C">
      <w:pPr>
        <w:pStyle w:val="Title"/>
        <w:numPr>
          <w:ilvl w:val="0"/>
          <w:numId w:val="14"/>
        </w:numPr>
        <w:tabs>
          <w:tab w:val="clear" w:pos="360"/>
          <w:tab w:val="num" w:pos="720"/>
        </w:tabs>
        <w:ind w:left="720"/>
        <w:jc w:val="both"/>
        <w:rPr>
          <w:rFonts w:ascii="Verdana" w:hAnsi="Verdana"/>
          <w:b w:val="0"/>
          <w:sz w:val="20"/>
        </w:rPr>
      </w:pPr>
      <w:r w:rsidRPr="004E4263">
        <w:rPr>
          <w:rFonts w:ascii="Verdana" w:hAnsi="Verdana"/>
          <w:b w:val="0"/>
          <w:sz w:val="20"/>
        </w:rPr>
        <w:t xml:space="preserve">For those combinations that have a tabulated SIDR count but no WWR workload count, the </w:t>
      </w:r>
      <w:r w:rsidR="00F16E56" w:rsidRPr="004E4263">
        <w:rPr>
          <w:rFonts w:ascii="Verdana" w:hAnsi="Verdana"/>
          <w:b w:val="0"/>
          <w:sz w:val="20"/>
        </w:rPr>
        <w:t>Disposition C</w:t>
      </w:r>
      <w:r w:rsidRPr="004E4263">
        <w:rPr>
          <w:rFonts w:ascii="Verdana" w:hAnsi="Verdana"/>
          <w:b w:val="0"/>
          <w:sz w:val="20"/>
        </w:rPr>
        <w:t xml:space="preserve">ompletion </w:t>
      </w:r>
      <w:r w:rsidR="00F16E56" w:rsidRPr="004E4263">
        <w:rPr>
          <w:rFonts w:ascii="Verdana" w:hAnsi="Verdana"/>
          <w:b w:val="0"/>
          <w:sz w:val="20"/>
        </w:rPr>
        <w:t>F</w:t>
      </w:r>
      <w:r w:rsidRPr="004E4263">
        <w:rPr>
          <w:rFonts w:ascii="Verdana" w:hAnsi="Verdana"/>
          <w:b w:val="0"/>
          <w:sz w:val="20"/>
        </w:rPr>
        <w:t>actor is estimated as follows:</w:t>
      </w:r>
    </w:p>
    <w:p w:rsidR="004F563C" w:rsidRDefault="00F16E56" w:rsidP="004F563C">
      <w:pPr>
        <w:pStyle w:val="Title"/>
        <w:numPr>
          <w:ilvl w:val="0"/>
          <w:numId w:val="15"/>
        </w:numPr>
        <w:tabs>
          <w:tab w:val="clear" w:pos="720"/>
          <w:tab w:val="num" w:pos="1080"/>
        </w:tabs>
        <w:ind w:left="1080"/>
        <w:jc w:val="both"/>
        <w:rPr>
          <w:rFonts w:ascii="Verdana" w:hAnsi="Verdana"/>
          <w:b w:val="0"/>
          <w:sz w:val="20"/>
        </w:rPr>
      </w:pPr>
      <w:r w:rsidRPr="004E4263">
        <w:rPr>
          <w:rFonts w:ascii="Verdana" w:hAnsi="Verdana"/>
          <w:b w:val="0"/>
          <w:sz w:val="20"/>
        </w:rPr>
        <w:t xml:space="preserve">The </w:t>
      </w:r>
      <w:r w:rsidRPr="004E4263">
        <w:rPr>
          <w:rFonts w:ascii="Verdana" w:hAnsi="Verdana"/>
          <w:b w:val="0"/>
          <w:i/>
          <w:sz w:val="20"/>
        </w:rPr>
        <w:t xml:space="preserve">preceding </w:t>
      </w:r>
      <w:proofErr w:type="spellStart"/>
      <w:r w:rsidRPr="004E4263">
        <w:rPr>
          <w:rFonts w:ascii="Verdana" w:hAnsi="Verdana"/>
          <w:b w:val="0"/>
          <w:i/>
          <w:sz w:val="20"/>
        </w:rPr>
        <w:t>month’s</w:t>
      </w:r>
      <w:proofErr w:type="spellEnd"/>
      <w:r w:rsidRPr="004E4263">
        <w:rPr>
          <w:rFonts w:ascii="Verdana" w:hAnsi="Verdana"/>
          <w:b w:val="0"/>
          <w:sz w:val="20"/>
        </w:rPr>
        <w:t xml:space="preserve"> and the </w:t>
      </w:r>
      <w:r w:rsidRPr="004E4263">
        <w:rPr>
          <w:rFonts w:ascii="Verdana" w:hAnsi="Verdana"/>
          <w:b w:val="0"/>
          <w:i/>
          <w:sz w:val="20"/>
        </w:rPr>
        <w:t xml:space="preserve">estimation month’s </w:t>
      </w:r>
      <w:r w:rsidRPr="004E4263">
        <w:rPr>
          <w:rFonts w:ascii="Verdana" w:hAnsi="Verdana"/>
          <w:b w:val="0"/>
          <w:sz w:val="20"/>
        </w:rPr>
        <w:t xml:space="preserve">worldwide average disposition completion factor is found by dividing the total number of tabulated SIDRs from MTFs with WWR workload, by the total amount of WWR disposition workload from MTFs with tabulated SIDRs (for each month separately). These are labeled </w:t>
      </w:r>
      <w:r w:rsidRPr="004E4263">
        <w:rPr>
          <w:rFonts w:ascii="Verdana" w:hAnsi="Verdana"/>
          <w:b w:val="0"/>
          <w:i/>
          <w:sz w:val="20"/>
        </w:rPr>
        <w:t>AVERAGE</w:t>
      </w:r>
      <w:r w:rsidRPr="004E4263">
        <w:rPr>
          <w:rFonts w:ascii="Verdana" w:hAnsi="Verdana"/>
          <w:b w:val="0"/>
          <w:sz w:val="20"/>
          <w:vertAlign w:val="subscript"/>
        </w:rPr>
        <w:t>0</w:t>
      </w:r>
      <w:r w:rsidRPr="004E4263">
        <w:rPr>
          <w:rFonts w:ascii="Verdana" w:hAnsi="Verdana"/>
          <w:b w:val="0"/>
          <w:sz w:val="20"/>
        </w:rPr>
        <w:t xml:space="preserve"> and </w:t>
      </w:r>
      <w:r w:rsidRPr="004E4263">
        <w:rPr>
          <w:rFonts w:ascii="Verdana" w:hAnsi="Verdana"/>
          <w:b w:val="0"/>
          <w:i/>
          <w:sz w:val="20"/>
        </w:rPr>
        <w:t>AVERAGE</w:t>
      </w:r>
      <w:r w:rsidRPr="004E4263">
        <w:rPr>
          <w:rFonts w:ascii="Verdana" w:hAnsi="Verdana"/>
          <w:b w:val="0"/>
          <w:sz w:val="20"/>
          <w:vertAlign w:val="subscript"/>
        </w:rPr>
        <w:t>1</w:t>
      </w:r>
      <w:r w:rsidRPr="004E4263">
        <w:rPr>
          <w:rFonts w:ascii="Verdana" w:hAnsi="Verdana"/>
          <w:b w:val="0"/>
          <w:sz w:val="20"/>
        </w:rPr>
        <w:t xml:space="preserve"> in the formula below. If there is an initial month for which there is no previous month of worldwide data, the contemporary average (</w:t>
      </w:r>
      <w:r w:rsidRPr="004E4263">
        <w:rPr>
          <w:rFonts w:ascii="Verdana" w:hAnsi="Verdana"/>
          <w:b w:val="0"/>
          <w:i/>
          <w:sz w:val="20"/>
        </w:rPr>
        <w:t>AVERAGE</w:t>
      </w:r>
      <w:r w:rsidRPr="004E4263">
        <w:rPr>
          <w:rFonts w:ascii="Verdana" w:hAnsi="Verdana"/>
          <w:b w:val="0"/>
          <w:sz w:val="20"/>
          <w:vertAlign w:val="subscript"/>
        </w:rPr>
        <w:t>1</w:t>
      </w:r>
      <w:r w:rsidRPr="004E4263">
        <w:rPr>
          <w:rFonts w:ascii="Verdana" w:hAnsi="Verdana"/>
          <w:b w:val="0"/>
          <w:sz w:val="20"/>
        </w:rPr>
        <w:t>) will be used as the estimate for the missing month/MTF combination.</w:t>
      </w:r>
    </w:p>
    <w:p w:rsidR="004F563C" w:rsidRDefault="00F16E56" w:rsidP="004F563C">
      <w:pPr>
        <w:pStyle w:val="Title"/>
        <w:numPr>
          <w:ilvl w:val="0"/>
          <w:numId w:val="15"/>
        </w:numPr>
        <w:tabs>
          <w:tab w:val="clear" w:pos="720"/>
          <w:tab w:val="num" w:pos="1080"/>
        </w:tabs>
        <w:ind w:left="1080"/>
        <w:jc w:val="both"/>
        <w:rPr>
          <w:rFonts w:ascii="Verdana" w:hAnsi="Verdana"/>
          <w:b w:val="0"/>
          <w:sz w:val="20"/>
        </w:rPr>
      </w:pPr>
      <w:r w:rsidRPr="004E4263">
        <w:rPr>
          <w:rFonts w:ascii="Verdana" w:hAnsi="Verdana"/>
          <w:b w:val="0"/>
          <w:sz w:val="20"/>
        </w:rPr>
        <w:t xml:space="preserve">The disposition completion factor for the previous month for the MTF to be estimated is retrieved or calculated. This is labeled </w:t>
      </w:r>
      <w:r w:rsidRPr="004E4263">
        <w:rPr>
          <w:rFonts w:ascii="Verdana" w:hAnsi="Verdana"/>
          <w:b w:val="0"/>
          <w:i/>
          <w:sz w:val="20"/>
        </w:rPr>
        <w:t>PREVIOUS</w:t>
      </w:r>
      <w:r w:rsidRPr="004E4263">
        <w:rPr>
          <w:rFonts w:ascii="Verdana" w:hAnsi="Verdana"/>
          <w:b w:val="0"/>
          <w:sz w:val="20"/>
        </w:rPr>
        <w:t xml:space="preserve"> in the formula below.</w:t>
      </w:r>
    </w:p>
    <w:p w:rsidR="00F16E56" w:rsidRPr="004E4263" w:rsidRDefault="00F16E56" w:rsidP="004F563C">
      <w:pPr>
        <w:pStyle w:val="Title"/>
        <w:numPr>
          <w:ilvl w:val="0"/>
          <w:numId w:val="15"/>
        </w:numPr>
        <w:tabs>
          <w:tab w:val="clear" w:pos="720"/>
          <w:tab w:val="num" w:pos="1080"/>
        </w:tabs>
        <w:ind w:left="1080"/>
        <w:jc w:val="both"/>
        <w:rPr>
          <w:rFonts w:ascii="Verdana" w:hAnsi="Verdana"/>
          <w:b w:val="0"/>
          <w:sz w:val="20"/>
        </w:rPr>
      </w:pPr>
      <w:r w:rsidRPr="004E4263">
        <w:rPr>
          <w:rFonts w:ascii="Verdana" w:hAnsi="Verdana"/>
          <w:b w:val="0"/>
          <w:sz w:val="20"/>
        </w:rPr>
        <w:t>The estimate is calculated by:</w:t>
      </w:r>
    </w:p>
    <w:p w:rsidR="00F16E56" w:rsidRPr="004E4263" w:rsidRDefault="00F16E56" w:rsidP="00F16E56">
      <w:pPr>
        <w:pStyle w:val="Title"/>
        <w:jc w:val="both"/>
        <w:rPr>
          <w:rFonts w:ascii="Verdana" w:hAnsi="Verdana"/>
          <w:b w:val="0"/>
          <w:sz w:val="20"/>
        </w:rPr>
      </w:pPr>
    </w:p>
    <w:p w:rsidR="00F16E56" w:rsidRPr="004E4263" w:rsidRDefault="00F16E56" w:rsidP="004F563C">
      <w:pPr>
        <w:pStyle w:val="Title"/>
        <w:ind w:left="1080"/>
        <w:jc w:val="both"/>
        <w:rPr>
          <w:rFonts w:ascii="Verdana" w:hAnsi="Verdana"/>
          <w:b w:val="0"/>
          <w:sz w:val="20"/>
        </w:rPr>
      </w:pPr>
      <w:r w:rsidRPr="004E4263">
        <w:rPr>
          <w:rFonts w:ascii="Verdana" w:hAnsi="Verdana"/>
          <w:b w:val="0"/>
          <w:i/>
          <w:sz w:val="20"/>
        </w:rPr>
        <w:t>ESTIMATE</w:t>
      </w:r>
      <w:r w:rsidRPr="004E4263">
        <w:rPr>
          <w:rFonts w:ascii="Verdana" w:hAnsi="Verdana"/>
          <w:b w:val="0"/>
          <w:sz w:val="20"/>
        </w:rPr>
        <w:t xml:space="preserve"> = (</w:t>
      </w:r>
      <w:r w:rsidRPr="004E4263">
        <w:rPr>
          <w:rFonts w:ascii="Verdana" w:hAnsi="Verdana"/>
          <w:b w:val="0"/>
          <w:i/>
          <w:sz w:val="20"/>
        </w:rPr>
        <w:t>PREVIOUS</w:t>
      </w:r>
      <w:r w:rsidRPr="004E4263">
        <w:rPr>
          <w:rFonts w:ascii="Verdana" w:hAnsi="Verdana"/>
          <w:b w:val="0"/>
          <w:sz w:val="20"/>
        </w:rPr>
        <w:t>) * (</w:t>
      </w:r>
      <w:r w:rsidRPr="004E4263">
        <w:rPr>
          <w:rFonts w:ascii="Verdana" w:hAnsi="Verdana"/>
          <w:b w:val="0"/>
          <w:i/>
          <w:sz w:val="20"/>
        </w:rPr>
        <w:t>AVERAGE</w:t>
      </w:r>
      <w:r w:rsidRPr="004E4263">
        <w:rPr>
          <w:rFonts w:ascii="Verdana" w:hAnsi="Verdana"/>
          <w:b w:val="0"/>
          <w:sz w:val="20"/>
          <w:vertAlign w:val="subscript"/>
        </w:rPr>
        <w:t>1</w:t>
      </w:r>
      <w:r w:rsidRPr="004E4263">
        <w:rPr>
          <w:rFonts w:ascii="Verdana" w:hAnsi="Verdana"/>
          <w:b w:val="0"/>
          <w:sz w:val="20"/>
        </w:rPr>
        <w:t>) / (</w:t>
      </w:r>
      <w:r w:rsidRPr="004E4263">
        <w:rPr>
          <w:rFonts w:ascii="Verdana" w:hAnsi="Verdana"/>
          <w:b w:val="0"/>
          <w:i/>
          <w:sz w:val="20"/>
        </w:rPr>
        <w:t>AVERAGE</w:t>
      </w:r>
      <w:r w:rsidRPr="004E4263">
        <w:rPr>
          <w:rFonts w:ascii="Verdana" w:hAnsi="Verdana"/>
          <w:b w:val="0"/>
          <w:sz w:val="20"/>
          <w:vertAlign w:val="subscript"/>
        </w:rPr>
        <w:t>0</w:t>
      </w:r>
      <w:r w:rsidRPr="004E4263">
        <w:rPr>
          <w:rFonts w:ascii="Verdana" w:hAnsi="Verdana"/>
          <w:b w:val="0"/>
          <w:sz w:val="20"/>
        </w:rPr>
        <w:t>)</w:t>
      </w:r>
    </w:p>
    <w:p w:rsidR="00F16E56" w:rsidRPr="004E4263" w:rsidRDefault="00F16E56" w:rsidP="00F16E56">
      <w:pPr>
        <w:pStyle w:val="Title"/>
        <w:jc w:val="both"/>
        <w:rPr>
          <w:rFonts w:ascii="Verdana" w:hAnsi="Verdana"/>
          <w:b w:val="0"/>
          <w:sz w:val="20"/>
        </w:rPr>
      </w:pPr>
    </w:p>
    <w:p w:rsidR="00F16E56" w:rsidRPr="004E4263" w:rsidRDefault="00F16E56" w:rsidP="004F563C">
      <w:pPr>
        <w:pStyle w:val="Title"/>
        <w:numPr>
          <w:ilvl w:val="0"/>
          <w:numId w:val="16"/>
        </w:numPr>
        <w:tabs>
          <w:tab w:val="clear" w:pos="720"/>
          <w:tab w:val="num" w:pos="1080"/>
        </w:tabs>
        <w:ind w:left="1080"/>
        <w:jc w:val="both"/>
        <w:rPr>
          <w:rFonts w:ascii="Verdana" w:hAnsi="Verdana"/>
          <w:b w:val="0"/>
          <w:sz w:val="20"/>
        </w:rPr>
      </w:pPr>
      <w:r w:rsidRPr="004E4263">
        <w:rPr>
          <w:rFonts w:ascii="Verdana" w:hAnsi="Verdana"/>
          <w:b w:val="0"/>
          <w:sz w:val="20"/>
        </w:rPr>
        <w:t>If an estimate is greater than 100%, 100% will be used instead.</w:t>
      </w:r>
    </w:p>
    <w:p w:rsidR="00F16E56" w:rsidRPr="004E4263" w:rsidRDefault="00F16E56" w:rsidP="00F16E56">
      <w:pPr>
        <w:pStyle w:val="Title"/>
        <w:jc w:val="both"/>
        <w:rPr>
          <w:rFonts w:ascii="Verdana" w:hAnsi="Verdana"/>
          <w:b w:val="0"/>
          <w:sz w:val="20"/>
        </w:rPr>
      </w:pPr>
    </w:p>
    <w:p w:rsidR="004F563C" w:rsidRDefault="00F16E56" w:rsidP="004F563C">
      <w:pPr>
        <w:pStyle w:val="Title"/>
        <w:numPr>
          <w:ilvl w:val="0"/>
          <w:numId w:val="14"/>
        </w:numPr>
        <w:tabs>
          <w:tab w:val="clear" w:pos="360"/>
          <w:tab w:val="num" w:pos="720"/>
        </w:tabs>
        <w:ind w:left="720"/>
        <w:jc w:val="both"/>
        <w:rPr>
          <w:rFonts w:ascii="Verdana" w:hAnsi="Verdana"/>
          <w:b w:val="0"/>
          <w:sz w:val="20"/>
        </w:rPr>
      </w:pPr>
      <w:r w:rsidRPr="004E4263">
        <w:rPr>
          <w:rFonts w:ascii="Verdana" w:hAnsi="Verdana"/>
          <w:b w:val="0"/>
          <w:sz w:val="20"/>
        </w:rPr>
        <w:t xml:space="preserve">All month’s more current than the WWR feed will not have estimated </w:t>
      </w:r>
      <w:r w:rsidR="00787FE8" w:rsidRPr="004E4263">
        <w:rPr>
          <w:rFonts w:ascii="Verdana" w:hAnsi="Verdana"/>
          <w:b w:val="0"/>
          <w:sz w:val="20"/>
        </w:rPr>
        <w:t xml:space="preserve">disposition </w:t>
      </w:r>
      <w:r w:rsidRPr="004E4263">
        <w:rPr>
          <w:rFonts w:ascii="Verdana" w:hAnsi="Verdana"/>
          <w:b w:val="0"/>
          <w:sz w:val="20"/>
        </w:rPr>
        <w:t>completion factors, but will be present in the table (see format below) filled with “0”.</w:t>
      </w:r>
    </w:p>
    <w:p w:rsidR="004F563C" w:rsidRDefault="005161EF" w:rsidP="004F563C">
      <w:pPr>
        <w:pStyle w:val="Title"/>
        <w:numPr>
          <w:ilvl w:val="0"/>
          <w:numId w:val="14"/>
        </w:numPr>
        <w:tabs>
          <w:tab w:val="clear" w:pos="360"/>
          <w:tab w:val="num" w:pos="720"/>
        </w:tabs>
        <w:ind w:left="720"/>
        <w:jc w:val="both"/>
        <w:rPr>
          <w:rFonts w:ascii="Verdana" w:hAnsi="Verdana"/>
          <w:b w:val="0"/>
          <w:sz w:val="20"/>
        </w:rPr>
      </w:pPr>
      <w:r w:rsidRPr="004E4263">
        <w:rPr>
          <w:rFonts w:ascii="Verdana" w:hAnsi="Verdana"/>
          <w:b w:val="0"/>
          <w:sz w:val="20"/>
        </w:rPr>
        <w:t xml:space="preserve">Any </w:t>
      </w:r>
      <w:r w:rsidR="00787FE8" w:rsidRPr="004E4263">
        <w:rPr>
          <w:rFonts w:ascii="Verdana" w:hAnsi="Verdana"/>
          <w:b w:val="0"/>
          <w:sz w:val="20"/>
        </w:rPr>
        <w:t xml:space="preserve">disposition </w:t>
      </w:r>
      <w:r w:rsidRPr="004E4263">
        <w:rPr>
          <w:rFonts w:ascii="Verdana" w:hAnsi="Verdana"/>
          <w:b w:val="0"/>
          <w:sz w:val="20"/>
        </w:rPr>
        <w:t>completion factor less than 0.4 is changed to “0”.</w:t>
      </w:r>
    </w:p>
    <w:p w:rsidR="00F16E56" w:rsidRPr="004E4263" w:rsidRDefault="00787FE8" w:rsidP="004F563C">
      <w:pPr>
        <w:pStyle w:val="Title"/>
        <w:numPr>
          <w:ilvl w:val="0"/>
          <w:numId w:val="14"/>
        </w:numPr>
        <w:tabs>
          <w:tab w:val="clear" w:pos="360"/>
          <w:tab w:val="num" w:pos="720"/>
        </w:tabs>
        <w:ind w:left="720"/>
        <w:jc w:val="both"/>
        <w:rPr>
          <w:rFonts w:ascii="Verdana" w:hAnsi="Verdana"/>
          <w:b w:val="0"/>
          <w:sz w:val="20"/>
        </w:rPr>
      </w:pPr>
      <w:r w:rsidRPr="004E4263">
        <w:rPr>
          <w:rFonts w:ascii="Verdana" w:hAnsi="Verdana"/>
          <w:b w:val="0"/>
          <w:sz w:val="20"/>
        </w:rPr>
        <w:t>The Cost/Workload Completion Factor (C/W CF) is derived as follows:</w:t>
      </w:r>
    </w:p>
    <w:p w:rsidR="00787FE8" w:rsidRPr="004E4263" w:rsidRDefault="00787FE8" w:rsidP="00787FE8">
      <w:pPr>
        <w:pStyle w:val="Title"/>
        <w:tabs>
          <w:tab w:val="left" w:pos="360"/>
        </w:tabs>
        <w:jc w:val="both"/>
        <w:rPr>
          <w:rFonts w:ascii="Verdana" w:hAnsi="Verdana"/>
          <w:b w:val="0"/>
          <w:sz w:val="20"/>
        </w:rPr>
      </w:pPr>
    </w:p>
    <w:p w:rsidR="00787FE8" w:rsidRPr="004E4263" w:rsidRDefault="00787FE8" w:rsidP="004F563C">
      <w:pPr>
        <w:pStyle w:val="Title"/>
        <w:tabs>
          <w:tab w:val="left" w:pos="720"/>
        </w:tabs>
        <w:ind w:left="720"/>
        <w:jc w:val="both"/>
        <w:rPr>
          <w:rFonts w:ascii="Verdana" w:hAnsi="Verdana"/>
          <w:b w:val="0"/>
          <w:i/>
          <w:sz w:val="20"/>
        </w:rPr>
      </w:pPr>
      <w:r w:rsidRPr="004E4263">
        <w:rPr>
          <w:rFonts w:ascii="Verdana" w:hAnsi="Verdana"/>
          <w:b w:val="0"/>
          <w:i/>
          <w:sz w:val="20"/>
        </w:rPr>
        <w:t>C/W CF = Minimum(1, (0.8*</w:t>
      </w:r>
      <w:proofErr w:type="spellStart"/>
      <w:r w:rsidRPr="004E4263">
        <w:rPr>
          <w:rFonts w:ascii="Verdana" w:hAnsi="Verdana"/>
          <w:b w:val="0"/>
          <w:i/>
          <w:sz w:val="20"/>
        </w:rPr>
        <w:t>Disp</w:t>
      </w:r>
      <w:proofErr w:type="spellEnd"/>
      <w:r w:rsidRPr="004E4263">
        <w:rPr>
          <w:rFonts w:ascii="Verdana" w:hAnsi="Verdana"/>
          <w:b w:val="0"/>
          <w:i/>
          <w:sz w:val="20"/>
        </w:rPr>
        <w:t xml:space="preserve"> CF)+(0.2*</w:t>
      </w:r>
      <w:proofErr w:type="spellStart"/>
      <w:r w:rsidRPr="004E4263">
        <w:rPr>
          <w:rFonts w:ascii="Verdana" w:hAnsi="Verdana"/>
          <w:b w:val="0"/>
          <w:i/>
          <w:sz w:val="20"/>
        </w:rPr>
        <w:t>Disp</w:t>
      </w:r>
      <w:proofErr w:type="spellEnd"/>
      <w:r w:rsidRPr="004E4263">
        <w:rPr>
          <w:rFonts w:ascii="Verdana" w:hAnsi="Verdana"/>
          <w:b w:val="0"/>
          <w:i/>
          <w:sz w:val="20"/>
        </w:rPr>
        <w:t xml:space="preserve"> CF^2))</w:t>
      </w:r>
    </w:p>
    <w:p w:rsidR="00625DF4" w:rsidRPr="004F563C" w:rsidRDefault="00625DF4" w:rsidP="004F563C">
      <w:pPr>
        <w:pStyle w:val="Title"/>
        <w:numPr>
          <w:ilvl w:val="1"/>
          <w:numId w:val="14"/>
        </w:numPr>
        <w:tabs>
          <w:tab w:val="clear" w:pos="1800"/>
          <w:tab w:val="num" w:pos="360"/>
        </w:tabs>
        <w:ind w:left="360" w:hanging="360"/>
        <w:jc w:val="both"/>
        <w:rPr>
          <w:rFonts w:ascii="Verdana" w:hAnsi="Verdana"/>
          <w:sz w:val="20"/>
        </w:rPr>
      </w:pPr>
      <w:r w:rsidRPr="004F563C">
        <w:rPr>
          <w:rFonts w:ascii="Verdana" w:hAnsi="Verdana"/>
          <w:sz w:val="20"/>
        </w:rPr>
        <w:lastRenderedPageBreak/>
        <w:t>Application of Completion Factors:</w:t>
      </w:r>
    </w:p>
    <w:p w:rsidR="00625DF4" w:rsidRPr="004E4263" w:rsidRDefault="00625DF4" w:rsidP="001251E1">
      <w:pPr>
        <w:pStyle w:val="Title"/>
        <w:jc w:val="both"/>
        <w:rPr>
          <w:rFonts w:ascii="Verdana" w:hAnsi="Verdana"/>
          <w:b w:val="0"/>
          <w:sz w:val="20"/>
        </w:rPr>
      </w:pPr>
    </w:p>
    <w:p w:rsidR="004F563C" w:rsidRDefault="00625DF4" w:rsidP="004F563C">
      <w:pPr>
        <w:pStyle w:val="Title"/>
        <w:ind w:left="360"/>
        <w:jc w:val="both"/>
        <w:rPr>
          <w:rFonts w:ascii="Verdana" w:hAnsi="Verdana"/>
          <w:b w:val="0"/>
          <w:sz w:val="20"/>
        </w:rPr>
      </w:pPr>
      <w:r w:rsidRPr="004E4263">
        <w:rPr>
          <w:rFonts w:ascii="Verdana" w:hAnsi="Verdana"/>
          <w:b w:val="0"/>
          <w:sz w:val="20"/>
        </w:rPr>
        <w:t xml:space="preserve">The completion factors are meaningful as </w:t>
      </w:r>
      <w:proofErr w:type="spellStart"/>
      <w:r w:rsidRPr="004E4263">
        <w:rPr>
          <w:rFonts w:ascii="Verdana" w:hAnsi="Verdana"/>
          <w:b w:val="0"/>
          <w:sz w:val="20"/>
        </w:rPr>
        <w:t>stand alone</w:t>
      </w:r>
      <w:proofErr w:type="spellEnd"/>
      <w:r w:rsidRPr="004E4263">
        <w:rPr>
          <w:rFonts w:ascii="Verdana" w:hAnsi="Verdana"/>
          <w:b w:val="0"/>
          <w:sz w:val="20"/>
        </w:rPr>
        <w:t xml:space="preserve"> tables for user use, but they are also very powerful for improving the information available from direct care encounter data files. In general, the</w:t>
      </w:r>
      <w:r w:rsidR="005161EF" w:rsidRPr="004E4263">
        <w:rPr>
          <w:rFonts w:ascii="Verdana" w:hAnsi="Verdana"/>
          <w:b w:val="0"/>
          <w:sz w:val="20"/>
        </w:rPr>
        <w:t xml:space="preserve"> encounter data </w:t>
      </w:r>
      <w:r w:rsidRPr="004E4263">
        <w:rPr>
          <w:rFonts w:ascii="Verdana" w:hAnsi="Verdana"/>
          <w:b w:val="0"/>
          <w:sz w:val="20"/>
        </w:rPr>
        <w:t>files contain only partial data because of (1) time lags in receiving data, and (2) permanent failure to complete encounter records for some encounters. Each of the main direct care encounter data files (SADR and SIDR) contain basic quantitative information based solely on that reported encounter. The completion factors allow extrapolations from the recorded encounters to estimate the total quantitative results in that view.</w:t>
      </w:r>
    </w:p>
    <w:p w:rsidR="004F563C" w:rsidRDefault="004F563C" w:rsidP="004F563C">
      <w:pPr>
        <w:pStyle w:val="Title"/>
        <w:ind w:left="360"/>
        <w:jc w:val="both"/>
        <w:rPr>
          <w:rFonts w:ascii="Verdana" w:hAnsi="Verdana"/>
          <w:b w:val="0"/>
          <w:sz w:val="20"/>
        </w:rPr>
      </w:pPr>
    </w:p>
    <w:p w:rsidR="00625DF4" w:rsidRPr="004E4263" w:rsidRDefault="00625DF4" w:rsidP="004F563C">
      <w:pPr>
        <w:pStyle w:val="Title"/>
        <w:ind w:left="360"/>
        <w:jc w:val="both"/>
        <w:rPr>
          <w:rFonts w:ascii="Verdana" w:hAnsi="Verdana"/>
          <w:b w:val="0"/>
          <w:sz w:val="20"/>
        </w:rPr>
      </w:pPr>
      <w:r w:rsidRPr="004E4263">
        <w:rPr>
          <w:rFonts w:ascii="Verdana" w:hAnsi="Verdana"/>
          <w:b w:val="0"/>
          <w:sz w:val="20"/>
        </w:rPr>
        <w:t>To accommodate this, certain quantitative field</w:t>
      </w:r>
      <w:r w:rsidR="00743B94" w:rsidRPr="004E4263">
        <w:rPr>
          <w:rFonts w:ascii="Verdana" w:hAnsi="Verdana"/>
          <w:b w:val="0"/>
          <w:sz w:val="20"/>
        </w:rPr>
        <w:t>s</w:t>
      </w:r>
      <w:r w:rsidRPr="004E4263">
        <w:rPr>
          <w:rFonts w:ascii="Verdana" w:hAnsi="Verdana"/>
          <w:b w:val="0"/>
          <w:sz w:val="20"/>
        </w:rPr>
        <w:t xml:space="preserve"> in encounter data (costs, prices, days of stay, admission or visit counts, relative value units, relative weighted products, APG weights) </w:t>
      </w:r>
      <w:r w:rsidR="00743B94" w:rsidRPr="004E4263">
        <w:rPr>
          <w:rFonts w:ascii="Verdana" w:hAnsi="Verdana"/>
          <w:b w:val="0"/>
          <w:sz w:val="20"/>
        </w:rPr>
        <w:t xml:space="preserve">can be </w:t>
      </w:r>
      <w:r w:rsidRPr="004E4263">
        <w:rPr>
          <w:rFonts w:ascii="Verdana" w:hAnsi="Verdana"/>
          <w:b w:val="0"/>
          <w:sz w:val="20"/>
        </w:rPr>
        <w:t xml:space="preserve">estimated to completion. The estimation for appropriate measures produces a calculated “total” for that measure by dividing the “raw” measure in the encounter record by the matched completion factor for that month, </w:t>
      </w:r>
      <w:r w:rsidR="00743B94" w:rsidRPr="004E4263">
        <w:rPr>
          <w:rFonts w:ascii="Verdana" w:hAnsi="Verdana"/>
          <w:b w:val="0"/>
          <w:sz w:val="20"/>
        </w:rPr>
        <w:t xml:space="preserve">treatment DMIS ID, </w:t>
      </w:r>
      <w:r w:rsidRPr="004E4263">
        <w:rPr>
          <w:rFonts w:ascii="Verdana" w:hAnsi="Verdana"/>
          <w:b w:val="0"/>
          <w:sz w:val="20"/>
        </w:rPr>
        <w:t>and (</w:t>
      </w:r>
      <w:r w:rsidR="00743B94" w:rsidRPr="004E4263">
        <w:rPr>
          <w:rFonts w:ascii="Verdana" w:hAnsi="Verdana"/>
          <w:b w:val="0"/>
          <w:sz w:val="20"/>
        </w:rPr>
        <w:t xml:space="preserve">for </w:t>
      </w:r>
      <w:r w:rsidRPr="004E4263">
        <w:rPr>
          <w:rFonts w:ascii="Verdana" w:hAnsi="Verdana"/>
          <w:b w:val="0"/>
          <w:sz w:val="20"/>
        </w:rPr>
        <w:t>SADR only) work center at a 3</w:t>
      </w:r>
      <w:r w:rsidR="00743B94" w:rsidRPr="004E4263">
        <w:rPr>
          <w:rFonts w:ascii="Verdana" w:hAnsi="Verdana"/>
          <w:b w:val="0"/>
          <w:sz w:val="20"/>
          <w:vertAlign w:val="superscript"/>
        </w:rPr>
        <w:t>rd</w:t>
      </w:r>
      <w:r w:rsidR="00743B94" w:rsidRPr="004E4263">
        <w:rPr>
          <w:rFonts w:ascii="Verdana" w:hAnsi="Verdana"/>
          <w:b w:val="0"/>
          <w:sz w:val="20"/>
        </w:rPr>
        <w:t>-level</w:t>
      </w:r>
      <w:r w:rsidRPr="004E4263">
        <w:rPr>
          <w:rFonts w:ascii="Verdana" w:hAnsi="Verdana"/>
          <w:b w:val="0"/>
          <w:sz w:val="20"/>
        </w:rPr>
        <w:t xml:space="preserve"> MEPR</w:t>
      </w:r>
      <w:r w:rsidR="00743B94" w:rsidRPr="004E4263">
        <w:rPr>
          <w:rFonts w:ascii="Verdana" w:hAnsi="Verdana"/>
          <w:b w:val="0"/>
          <w:sz w:val="20"/>
        </w:rPr>
        <w:t>S</w:t>
      </w:r>
      <w:r w:rsidRPr="004E4263">
        <w:rPr>
          <w:rFonts w:ascii="Verdana" w:hAnsi="Verdana"/>
          <w:b w:val="0"/>
          <w:sz w:val="20"/>
        </w:rPr>
        <w:t xml:space="preserve">. This allows “total” measures to be </w:t>
      </w:r>
      <w:r w:rsidR="00743B94" w:rsidRPr="004E4263">
        <w:rPr>
          <w:rFonts w:ascii="Verdana" w:hAnsi="Verdana"/>
          <w:b w:val="0"/>
          <w:sz w:val="20"/>
        </w:rPr>
        <w:t xml:space="preserve">calculated for analyses </w:t>
      </w:r>
      <w:r w:rsidRPr="004E4263">
        <w:rPr>
          <w:rFonts w:ascii="Verdana" w:hAnsi="Verdana"/>
          <w:b w:val="0"/>
          <w:sz w:val="20"/>
        </w:rPr>
        <w:t>and all the missing data will be estimated to completion</w:t>
      </w:r>
      <w:r w:rsidR="00743B94" w:rsidRPr="004E4263">
        <w:rPr>
          <w:rFonts w:ascii="Verdana" w:hAnsi="Verdana"/>
          <w:b w:val="0"/>
          <w:sz w:val="20"/>
        </w:rPr>
        <w:t>.</w:t>
      </w:r>
      <w:r w:rsidRPr="004E4263">
        <w:rPr>
          <w:rFonts w:ascii="Verdana" w:hAnsi="Verdana"/>
          <w:b w:val="0"/>
          <w:sz w:val="20"/>
        </w:rPr>
        <w:t xml:space="preserve"> (Example: $80 “raw” cost for a visit, matched completion factor of </w:t>
      </w:r>
      <w:r w:rsidR="00743B94" w:rsidRPr="004E4263">
        <w:rPr>
          <w:rFonts w:ascii="Verdana" w:hAnsi="Verdana"/>
          <w:b w:val="0"/>
          <w:sz w:val="20"/>
        </w:rPr>
        <w:t>0</w:t>
      </w:r>
      <w:r w:rsidRPr="004E4263">
        <w:rPr>
          <w:rFonts w:ascii="Verdana" w:hAnsi="Verdana"/>
          <w:b w:val="0"/>
          <w:sz w:val="20"/>
        </w:rPr>
        <w:t>.75, yields a “total” completed cost of $80/</w:t>
      </w:r>
      <w:r w:rsidR="00743B94" w:rsidRPr="004E4263">
        <w:rPr>
          <w:rFonts w:ascii="Verdana" w:hAnsi="Verdana"/>
          <w:b w:val="0"/>
          <w:sz w:val="20"/>
        </w:rPr>
        <w:t>0</w:t>
      </w:r>
      <w:r w:rsidRPr="004E4263">
        <w:rPr>
          <w:rFonts w:ascii="Verdana" w:hAnsi="Verdana"/>
          <w:b w:val="0"/>
          <w:sz w:val="20"/>
        </w:rPr>
        <w:t>.75 = $106.67.</w:t>
      </w:r>
      <w:r w:rsidR="00743B94" w:rsidRPr="004E4263">
        <w:rPr>
          <w:rFonts w:ascii="Verdana" w:hAnsi="Verdana"/>
          <w:b w:val="0"/>
          <w:sz w:val="20"/>
        </w:rPr>
        <w:t>)</w:t>
      </w:r>
    </w:p>
    <w:p w:rsidR="00625DF4" w:rsidRPr="004E4263" w:rsidRDefault="00625DF4" w:rsidP="001251E1">
      <w:pPr>
        <w:pStyle w:val="Title"/>
        <w:jc w:val="both"/>
        <w:rPr>
          <w:rFonts w:ascii="Verdana" w:hAnsi="Verdana"/>
          <w:b w:val="0"/>
          <w:sz w:val="20"/>
        </w:rPr>
      </w:pPr>
    </w:p>
    <w:p w:rsidR="00625DF4" w:rsidRPr="004E4263" w:rsidRDefault="004E4263" w:rsidP="00743B94">
      <w:pPr>
        <w:pStyle w:val="Title"/>
        <w:rPr>
          <w:rFonts w:ascii="Verdana" w:hAnsi="Verdana"/>
          <w:sz w:val="20"/>
        </w:rPr>
      </w:pPr>
      <w:r>
        <w:rPr>
          <w:rFonts w:ascii="Verdana" w:hAnsi="Verdana"/>
          <w:sz w:val="20"/>
        </w:rPr>
        <w:t xml:space="preserve">Table 1. </w:t>
      </w:r>
      <w:r w:rsidR="00625DF4" w:rsidRPr="004E4263">
        <w:rPr>
          <w:rFonts w:ascii="Verdana" w:hAnsi="Verdana"/>
          <w:sz w:val="20"/>
        </w:rPr>
        <w:t xml:space="preserve">File Layout for Direct Care Completion Factors </w:t>
      </w:r>
      <w:r w:rsidR="00743B94" w:rsidRPr="004E4263">
        <w:rPr>
          <w:rFonts w:ascii="Verdana" w:hAnsi="Verdana"/>
          <w:sz w:val="20"/>
        </w:rPr>
        <w:t xml:space="preserve">for </w:t>
      </w:r>
      <w:r w:rsidR="00625DF4" w:rsidRPr="004E4263">
        <w:rPr>
          <w:rFonts w:ascii="Verdana" w:hAnsi="Verdana"/>
          <w:sz w:val="20"/>
        </w:rPr>
        <w:t>SADR</w:t>
      </w:r>
    </w:p>
    <w:p w:rsidR="00625DF4" w:rsidRPr="004E4263" w:rsidRDefault="00625DF4" w:rsidP="001251E1">
      <w:pPr>
        <w:pStyle w:val="Title"/>
        <w:jc w:val="both"/>
        <w:rPr>
          <w:rFonts w:ascii="Verdana" w:hAnsi="Verdana"/>
          <w:b w:val="0"/>
          <w:sz w:val="20"/>
        </w:rPr>
      </w:pPr>
    </w:p>
    <w:tbl>
      <w:tblPr>
        <w:tblW w:w="781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3274"/>
        <w:gridCol w:w="1766"/>
        <w:gridCol w:w="1766"/>
      </w:tblGrid>
      <w:tr w:rsidR="003A15D0" w:rsidRPr="004E4263">
        <w:trPr>
          <w:tblHeader/>
          <w:jc w:val="center"/>
        </w:trPr>
        <w:tc>
          <w:tcPr>
            <w:tcW w:w="1013" w:type="dxa"/>
            <w:shd w:val="clear" w:color="auto" w:fill="CCCCCC"/>
          </w:tcPr>
          <w:p w:rsidR="003A15D0" w:rsidRPr="004E4263" w:rsidRDefault="003A15D0" w:rsidP="003A15D0">
            <w:pPr>
              <w:pStyle w:val="Title"/>
              <w:rPr>
                <w:rFonts w:ascii="Verdana" w:hAnsi="Verdana"/>
                <w:sz w:val="20"/>
              </w:rPr>
            </w:pPr>
            <w:r w:rsidRPr="004E4263">
              <w:rPr>
                <w:rFonts w:ascii="Verdana" w:hAnsi="Verdana"/>
                <w:sz w:val="20"/>
              </w:rPr>
              <w:t>Field</w:t>
            </w:r>
          </w:p>
        </w:tc>
        <w:tc>
          <w:tcPr>
            <w:tcW w:w="3274" w:type="dxa"/>
            <w:shd w:val="clear" w:color="auto" w:fill="CCCCCC"/>
          </w:tcPr>
          <w:p w:rsidR="003A15D0" w:rsidRPr="004E4263" w:rsidRDefault="003A15D0" w:rsidP="003A15D0">
            <w:pPr>
              <w:pStyle w:val="Title"/>
              <w:rPr>
                <w:rFonts w:ascii="Verdana" w:hAnsi="Verdana"/>
                <w:sz w:val="20"/>
              </w:rPr>
            </w:pPr>
            <w:r w:rsidRPr="004E4263">
              <w:rPr>
                <w:rFonts w:ascii="Verdana" w:hAnsi="Verdana"/>
                <w:sz w:val="20"/>
              </w:rPr>
              <w:t>Element Name</w:t>
            </w:r>
          </w:p>
        </w:tc>
        <w:tc>
          <w:tcPr>
            <w:tcW w:w="1766" w:type="dxa"/>
            <w:shd w:val="clear" w:color="auto" w:fill="CCCCCC"/>
          </w:tcPr>
          <w:p w:rsidR="003A15D0" w:rsidRPr="004E4263" w:rsidRDefault="003A15D0" w:rsidP="00625DF4">
            <w:pPr>
              <w:pStyle w:val="Title"/>
              <w:rPr>
                <w:rFonts w:ascii="Verdana" w:hAnsi="Verdana"/>
                <w:sz w:val="20"/>
              </w:rPr>
            </w:pPr>
            <w:r w:rsidRPr="004E4263">
              <w:rPr>
                <w:rFonts w:ascii="Verdana" w:hAnsi="Verdana"/>
                <w:sz w:val="20"/>
              </w:rPr>
              <w:t>Type</w:t>
            </w:r>
          </w:p>
        </w:tc>
        <w:tc>
          <w:tcPr>
            <w:tcW w:w="1766" w:type="dxa"/>
            <w:shd w:val="clear" w:color="auto" w:fill="CCCCCC"/>
          </w:tcPr>
          <w:p w:rsidR="003A15D0" w:rsidRPr="004E4263" w:rsidRDefault="003A15D0" w:rsidP="003A15D0">
            <w:pPr>
              <w:pStyle w:val="Title"/>
              <w:rPr>
                <w:rFonts w:ascii="Verdana" w:hAnsi="Verdana"/>
                <w:sz w:val="20"/>
              </w:rPr>
            </w:pPr>
            <w:r w:rsidRPr="004E4263">
              <w:rPr>
                <w:rFonts w:ascii="Verdana" w:hAnsi="Verdana"/>
                <w:sz w:val="20"/>
              </w:rPr>
              <w:t>Values</w:t>
            </w:r>
          </w:p>
        </w:tc>
      </w:tr>
      <w:tr w:rsidR="003A15D0" w:rsidRPr="004E4263">
        <w:trPr>
          <w:jc w:val="center"/>
        </w:trPr>
        <w:tc>
          <w:tcPr>
            <w:tcW w:w="1013" w:type="dxa"/>
          </w:tcPr>
          <w:p w:rsidR="003A15D0" w:rsidRPr="004E4263" w:rsidRDefault="003A15D0" w:rsidP="003A15D0">
            <w:pPr>
              <w:pStyle w:val="Title"/>
              <w:rPr>
                <w:rFonts w:ascii="Verdana" w:hAnsi="Verdana"/>
                <w:b w:val="0"/>
                <w:sz w:val="20"/>
              </w:rPr>
            </w:pPr>
            <w:r w:rsidRPr="004E4263">
              <w:rPr>
                <w:rFonts w:ascii="Verdana" w:hAnsi="Verdana"/>
                <w:b w:val="0"/>
                <w:sz w:val="20"/>
              </w:rPr>
              <w:t>1</w:t>
            </w:r>
          </w:p>
        </w:tc>
        <w:tc>
          <w:tcPr>
            <w:tcW w:w="3274" w:type="dxa"/>
          </w:tcPr>
          <w:p w:rsidR="003A15D0" w:rsidRPr="004E4263" w:rsidRDefault="003A15D0" w:rsidP="001251E1">
            <w:pPr>
              <w:pStyle w:val="Title"/>
              <w:jc w:val="both"/>
              <w:rPr>
                <w:rFonts w:ascii="Verdana" w:hAnsi="Verdana"/>
                <w:b w:val="0"/>
                <w:sz w:val="20"/>
              </w:rPr>
            </w:pPr>
            <w:proofErr w:type="spellStart"/>
            <w:r w:rsidRPr="004E4263">
              <w:rPr>
                <w:rFonts w:ascii="Verdana" w:hAnsi="Verdana"/>
                <w:b w:val="0"/>
                <w:sz w:val="20"/>
              </w:rPr>
              <w:t>Tmt</w:t>
            </w:r>
            <w:proofErr w:type="spellEnd"/>
            <w:r w:rsidRPr="004E4263">
              <w:rPr>
                <w:rFonts w:ascii="Verdana" w:hAnsi="Verdana"/>
                <w:b w:val="0"/>
                <w:sz w:val="20"/>
              </w:rPr>
              <w:t xml:space="preserve"> DMIS ID</w:t>
            </w:r>
          </w:p>
        </w:tc>
        <w:tc>
          <w:tcPr>
            <w:tcW w:w="1766" w:type="dxa"/>
          </w:tcPr>
          <w:p w:rsidR="003A15D0" w:rsidRPr="004E4263" w:rsidRDefault="003A15D0" w:rsidP="00625DF4">
            <w:pPr>
              <w:pStyle w:val="Title"/>
              <w:rPr>
                <w:rFonts w:ascii="Verdana" w:hAnsi="Verdana"/>
                <w:b w:val="0"/>
                <w:sz w:val="20"/>
              </w:rPr>
            </w:pPr>
            <w:r w:rsidRPr="004E4263">
              <w:rPr>
                <w:rFonts w:ascii="Verdana" w:hAnsi="Verdana"/>
                <w:b w:val="0"/>
                <w:sz w:val="20"/>
              </w:rPr>
              <w:t>Char(4)</w:t>
            </w:r>
          </w:p>
        </w:tc>
        <w:tc>
          <w:tcPr>
            <w:tcW w:w="1766" w:type="dxa"/>
          </w:tcPr>
          <w:p w:rsidR="003A15D0" w:rsidRPr="004E4263" w:rsidRDefault="003A15D0" w:rsidP="003A15D0">
            <w:pPr>
              <w:pStyle w:val="Title"/>
              <w:rPr>
                <w:rFonts w:ascii="Verdana" w:hAnsi="Verdana"/>
                <w:b w:val="0"/>
                <w:sz w:val="20"/>
              </w:rPr>
            </w:pPr>
            <w:r w:rsidRPr="004E4263">
              <w:rPr>
                <w:rFonts w:ascii="Verdana" w:hAnsi="Verdana"/>
                <w:b w:val="0"/>
                <w:sz w:val="20"/>
              </w:rPr>
              <w:t>e.g., 0117</w:t>
            </w:r>
          </w:p>
        </w:tc>
      </w:tr>
      <w:tr w:rsidR="003A15D0" w:rsidRPr="004E4263">
        <w:trPr>
          <w:jc w:val="center"/>
        </w:trPr>
        <w:tc>
          <w:tcPr>
            <w:tcW w:w="1013" w:type="dxa"/>
          </w:tcPr>
          <w:p w:rsidR="003A15D0" w:rsidRPr="004E4263" w:rsidRDefault="003A15D0" w:rsidP="003A15D0">
            <w:pPr>
              <w:pStyle w:val="Title"/>
              <w:rPr>
                <w:rFonts w:ascii="Verdana" w:hAnsi="Verdana"/>
                <w:b w:val="0"/>
                <w:sz w:val="20"/>
              </w:rPr>
            </w:pPr>
            <w:r w:rsidRPr="004E4263">
              <w:rPr>
                <w:rFonts w:ascii="Verdana" w:hAnsi="Verdana"/>
                <w:b w:val="0"/>
                <w:sz w:val="20"/>
              </w:rPr>
              <w:t>2</w:t>
            </w:r>
          </w:p>
        </w:tc>
        <w:tc>
          <w:tcPr>
            <w:tcW w:w="3274" w:type="dxa"/>
          </w:tcPr>
          <w:p w:rsidR="003A15D0" w:rsidRPr="004E4263" w:rsidRDefault="003A15D0" w:rsidP="001251E1">
            <w:pPr>
              <w:pStyle w:val="Title"/>
              <w:jc w:val="both"/>
              <w:rPr>
                <w:rFonts w:ascii="Verdana" w:hAnsi="Verdana"/>
                <w:b w:val="0"/>
                <w:sz w:val="20"/>
              </w:rPr>
            </w:pPr>
            <w:r w:rsidRPr="004E4263">
              <w:rPr>
                <w:rFonts w:ascii="Verdana" w:hAnsi="Verdana"/>
                <w:b w:val="0"/>
                <w:sz w:val="20"/>
              </w:rPr>
              <w:t>MEPRS</w:t>
            </w:r>
          </w:p>
        </w:tc>
        <w:tc>
          <w:tcPr>
            <w:tcW w:w="1766" w:type="dxa"/>
          </w:tcPr>
          <w:p w:rsidR="003A15D0" w:rsidRPr="004E4263" w:rsidRDefault="003A15D0" w:rsidP="00625DF4">
            <w:pPr>
              <w:pStyle w:val="Title"/>
              <w:rPr>
                <w:rFonts w:ascii="Verdana" w:hAnsi="Verdana"/>
                <w:b w:val="0"/>
                <w:sz w:val="20"/>
              </w:rPr>
            </w:pPr>
            <w:r w:rsidRPr="004E4263">
              <w:rPr>
                <w:rFonts w:ascii="Verdana" w:hAnsi="Verdana"/>
                <w:b w:val="0"/>
                <w:sz w:val="20"/>
              </w:rPr>
              <w:t>Char(3)</w:t>
            </w:r>
          </w:p>
        </w:tc>
        <w:tc>
          <w:tcPr>
            <w:tcW w:w="1766" w:type="dxa"/>
          </w:tcPr>
          <w:p w:rsidR="003A15D0" w:rsidRPr="004E4263" w:rsidRDefault="003A15D0" w:rsidP="003A15D0">
            <w:pPr>
              <w:pStyle w:val="Title"/>
              <w:rPr>
                <w:rFonts w:ascii="Verdana" w:hAnsi="Verdana"/>
                <w:b w:val="0"/>
                <w:sz w:val="20"/>
              </w:rPr>
            </w:pPr>
            <w:r w:rsidRPr="004E4263">
              <w:rPr>
                <w:rFonts w:ascii="Verdana" w:hAnsi="Verdana"/>
                <w:b w:val="0"/>
                <w:sz w:val="20"/>
              </w:rPr>
              <w:t>e.g., BAA</w:t>
            </w:r>
          </w:p>
        </w:tc>
      </w:tr>
      <w:tr w:rsidR="003A15D0" w:rsidRPr="004E4263">
        <w:trPr>
          <w:jc w:val="center"/>
        </w:trPr>
        <w:tc>
          <w:tcPr>
            <w:tcW w:w="1013" w:type="dxa"/>
          </w:tcPr>
          <w:p w:rsidR="003A15D0" w:rsidRPr="004E4263" w:rsidRDefault="003A15D0" w:rsidP="003A15D0">
            <w:pPr>
              <w:pStyle w:val="Title"/>
              <w:rPr>
                <w:rFonts w:ascii="Verdana" w:hAnsi="Verdana"/>
                <w:b w:val="0"/>
                <w:sz w:val="20"/>
              </w:rPr>
            </w:pPr>
            <w:r w:rsidRPr="004E4263">
              <w:rPr>
                <w:rFonts w:ascii="Verdana" w:hAnsi="Verdana"/>
                <w:b w:val="0"/>
                <w:sz w:val="20"/>
              </w:rPr>
              <w:t>3</w:t>
            </w:r>
          </w:p>
        </w:tc>
        <w:tc>
          <w:tcPr>
            <w:tcW w:w="3274" w:type="dxa"/>
          </w:tcPr>
          <w:p w:rsidR="003A15D0" w:rsidRPr="004E4263" w:rsidRDefault="003A15D0" w:rsidP="001251E1">
            <w:pPr>
              <w:pStyle w:val="Title"/>
              <w:jc w:val="both"/>
              <w:rPr>
                <w:rFonts w:ascii="Verdana" w:hAnsi="Verdana"/>
                <w:b w:val="0"/>
                <w:sz w:val="20"/>
              </w:rPr>
            </w:pPr>
            <w:r w:rsidRPr="004E4263">
              <w:rPr>
                <w:rFonts w:ascii="Verdana" w:hAnsi="Verdana"/>
                <w:b w:val="0"/>
                <w:sz w:val="20"/>
              </w:rPr>
              <w:t>Fiscal Year</w:t>
            </w:r>
          </w:p>
        </w:tc>
        <w:tc>
          <w:tcPr>
            <w:tcW w:w="1766" w:type="dxa"/>
          </w:tcPr>
          <w:p w:rsidR="003A15D0" w:rsidRPr="004E4263" w:rsidRDefault="003A15D0" w:rsidP="00625DF4">
            <w:pPr>
              <w:pStyle w:val="Title"/>
              <w:rPr>
                <w:rFonts w:ascii="Verdana" w:hAnsi="Verdana"/>
                <w:b w:val="0"/>
                <w:sz w:val="20"/>
              </w:rPr>
            </w:pPr>
            <w:r w:rsidRPr="004E4263">
              <w:rPr>
                <w:rFonts w:ascii="Verdana" w:hAnsi="Verdana"/>
                <w:b w:val="0"/>
                <w:sz w:val="20"/>
              </w:rPr>
              <w:t>Char(4)</w:t>
            </w:r>
          </w:p>
        </w:tc>
        <w:tc>
          <w:tcPr>
            <w:tcW w:w="1766" w:type="dxa"/>
          </w:tcPr>
          <w:p w:rsidR="003A15D0" w:rsidRPr="004E4263" w:rsidRDefault="003A15D0" w:rsidP="003A15D0">
            <w:pPr>
              <w:pStyle w:val="Title"/>
              <w:rPr>
                <w:rFonts w:ascii="Verdana" w:hAnsi="Verdana"/>
                <w:b w:val="0"/>
                <w:sz w:val="20"/>
              </w:rPr>
            </w:pPr>
            <w:r w:rsidRPr="004E4263">
              <w:rPr>
                <w:rFonts w:ascii="Verdana" w:hAnsi="Verdana"/>
                <w:b w:val="0"/>
                <w:sz w:val="20"/>
              </w:rPr>
              <w:t>e.g., 2001</w:t>
            </w:r>
          </w:p>
        </w:tc>
      </w:tr>
      <w:tr w:rsidR="003A15D0" w:rsidRPr="004E4263">
        <w:trPr>
          <w:jc w:val="center"/>
        </w:trPr>
        <w:tc>
          <w:tcPr>
            <w:tcW w:w="1013" w:type="dxa"/>
          </w:tcPr>
          <w:p w:rsidR="003A15D0" w:rsidRPr="004E4263" w:rsidRDefault="003A15D0" w:rsidP="003A15D0">
            <w:pPr>
              <w:pStyle w:val="Title"/>
              <w:rPr>
                <w:rFonts w:ascii="Verdana" w:hAnsi="Verdana"/>
                <w:b w:val="0"/>
                <w:sz w:val="20"/>
              </w:rPr>
            </w:pPr>
            <w:r w:rsidRPr="004E4263">
              <w:rPr>
                <w:rFonts w:ascii="Verdana" w:hAnsi="Verdana"/>
                <w:b w:val="0"/>
                <w:sz w:val="20"/>
              </w:rPr>
              <w:t>4</w:t>
            </w:r>
          </w:p>
        </w:tc>
        <w:tc>
          <w:tcPr>
            <w:tcW w:w="3274" w:type="dxa"/>
          </w:tcPr>
          <w:p w:rsidR="003A15D0" w:rsidRPr="004E4263" w:rsidRDefault="003A15D0" w:rsidP="001251E1">
            <w:pPr>
              <w:pStyle w:val="Title"/>
              <w:jc w:val="both"/>
              <w:rPr>
                <w:rFonts w:ascii="Verdana" w:hAnsi="Verdana"/>
                <w:b w:val="0"/>
                <w:sz w:val="20"/>
              </w:rPr>
            </w:pPr>
            <w:r w:rsidRPr="004E4263">
              <w:rPr>
                <w:rFonts w:ascii="Verdana" w:hAnsi="Verdana"/>
                <w:b w:val="0"/>
                <w:sz w:val="20"/>
              </w:rPr>
              <w:t>Fiscal Month</w:t>
            </w:r>
          </w:p>
        </w:tc>
        <w:tc>
          <w:tcPr>
            <w:tcW w:w="1766" w:type="dxa"/>
          </w:tcPr>
          <w:p w:rsidR="003A15D0" w:rsidRPr="004E4263" w:rsidRDefault="003A15D0" w:rsidP="00625DF4">
            <w:pPr>
              <w:pStyle w:val="Title"/>
              <w:rPr>
                <w:rFonts w:ascii="Verdana" w:hAnsi="Verdana"/>
                <w:b w:val="0"/>
                <w:sz w:val="20"/>
              </w:rPr>
            </w:pPr>
            <w:r w:rsidRPr="004E4263">
              <w:rPr>
                <w:rFonts w:ascii="Verdana" w:hAnsi="Verdana"/>
                <w:b w:val="0"/>
                <w:sz w:val="20"/>
              </w:rPr>
              <w:t>Char(2)</w:t>
            </w:r>
          </w:p>
        </w:tc>
        <w:tc>
          <w:tcPr>
            <w:tcW w:w="1766" w:type="dxa"/>
          </w:tcPr>
          <w:p w:rsidR="003A15D0" w:rsidRPr="004E4263" w:rsidRDefault="003A15D0" w:rsidP="003A15D0">
            <w:pPr>
              <w:pStyle w:val="Title"/>
              <w:rPr>
                <w:rFonts w:ascii="Verdana" w:hAnsi="Verdana"/>
                <w:b w:val="0"/>
                <w:sz w:val="20"/>
              </w:rPr>
            </w:pPr>
            <w:r w:rsidRPr="004E4263">
              <w:rPr>
                <w:rFonts w:ascii="Verdana" w:hAnsi="Verdana"/>
                <w:b w:val="0"/>
                <w:sz w:val="20"/>
              </w:rPr>
              <w:t>1 – 12</w:t>
            </w:r>
          </w:p>
        </w:tc>
      </w:tr>
      <w:tr w:rsidR="003A15D0" w:rsidRPr="004E4263">
        <w:trPr>
          <w:jc w:val="center"/>
        </w:trPr>
        <w:tc>
          <w:tcPr>
            <w:tcW w:w="1013" w:type="dxa"/>
          </w:tcPr>
          <w:p w:rsidR="003A15D0" w:rsidRPr="004E4263" w:rsidRDefault="003A15D0" w:rsidP="003A15D0">
            <w:pPr>
              <w:pStyle w:val="Title"/>
              <w:rPr>
                <w:rFonts w:ascii="Verdana" w:hAnsi="Verdana"/>
                <w:b w:val="0"/>
                <w:sz w:val="20"/>
              </w:rPr>
            </w:pPr>
            <w:r w:rsidRPr="004E4263">
              <w:rPr>
                <w:rFonts w:ascii="Verdana" w:hAnsi="Verdana"/>
                <w:b w:val="0"/>
                <w:sz w:val="20"/>
              </w:rPr>
              <w:t>5</w:t>
            </w:r>
          </w:p>
        </w:tc>
        <w:tc>
          <w:tcPr>
            <w:tcW w:w="3274" w:type="dxa"/>
          </w:tcPr>
          <w:p w:rsidR="003A15D0" w:rsidRPr="004E4263" w:rsidRDefault="00AE0F9E" w:rsidP="001251E1">
            <w:pPr>
              <w:pStyle w:val="Title"/>
              <w:jc w:val="both"/>
              <w:rPr>
                <w:rFonts w:ascii="Verdana" w:hAnsi="Verdana"/>
                <w:b w:val="0"/>
                <w:sz w:val="20"/>
              </w:rPr>
            </w:pPr>
            <w:r w:rsidRPr="004E4263">
              <w:rPr>
                <w:rFonts w:ascii="Verdana" w:hAnsi="Verdana"/>
                <w:b w:val="0"/>
                <w:sz w:val="20"/>
              </w:rPr>
              <w:t>Completion Fac</w:t>
            </w:r>
            <w:r w:rsidR="003A15D0" w:rsidRPr="004E4263">
              <w:rPr>
                <w:rFonts w:ascii="Verdana" w:hAnsi="Verdana"/>
                <w:b w:val="0"/>
                <w:sz w:val="20"/>
              </w:rPr>
              <w:t>t</w:t>
            </w:r>
            <w:r w:rsidRPr="004E4263">
              <w:rPr>
                <w:rFonts w:ascii="Verdana" w:hAnsi="Verdana"/>
                <w:b w:val="0"/>
                <w:sz w:val="20"/>
              </w:rPr>
              <w:t>or</w:t>
            </w:r>
          </w:p>
        </w:tc>
        <w:tc>
          <w:tcPr>
            <w:tcW w:w="1766" w:type="dxa"/>
          </w:tcPr>
          <w:p w:rsidR="003A15D0" w:rsidRPr="004E4263" w:rsidRDefault="003A15D0" w:rsidP="00625DF4">
            <w:pPr>
              <w:pStyle w:val="Title"/>
              <w:rPr>
                <w:rFonts w:ascii="Verdana" w:hAnsi="Verdana"/>
                <w:b w:val="0"/>
                <w:sz w:val="20"/>
              </w:rPr>
            </w:pPr>
            <w:r w:rsidRPr="004E4263">
              <w:rPr>
                <w:rFonts w:ascii="Verdana" w:hAnsi="Verdana"/>
                <w:b w:val="0"/>
                <w:sz w:val="20"/>
              </w:rPr>
              <w:t>Dec(9,7)</w:t>
            </w:r>
          </w:p>
        </w:tc>
        <w:tc>
          <w:tcPr>
            <w:tcW w:w="1766" w:type="dxa"/>
          </w:tcPr>
          <w:p w:rsidR="003A15D0" w:rsidRPr="004E4263" w:rsidRDefault="003A15D0" w:rsidP="003A15D0">
            <w:pPr>
              <w:pStyle w:val="Title"/>
              <w:rPr>
                <w:rFonts w:ascii="Verdana" w:hAnsi="Verdana"/>
                <w:b w:val="0"/>
                <w:sz w:val="20"/>
              </w:rPr>
            </w:pPr>
          </w:p>
        </w:tc>
      </w:tr>
    </w:tbl>
    <w:p w:rsidR="00625DF4" w:rsidRPr="004E4263" w:rsidRDefault="00625DF4" w:rsidP="003A15D0">
      <w:pPr>
        <w:pStyle w:val="Title"/>
        <w:jc w:val="left"/>
        <w:rPr>
          <w:rFonts w:ascii="Verdana" w:hAnsi="Verdana"/>
          <w:sz w:val="20"/>
        </w:rPr>
      </w:pPr>
    </w:p>
    <w:p w:rsidR="003A15D0" w:rsidRPr="004E4263" w:rsidRDefault="003A15D0" w:rsidP="003A15D0">
      <w:pPr>
        <w:pStyle w:val="Title"/>
        <w:jc w:val="left"/>
        <w:rPr>
          <w:rFonts w:ascii="Verdana" w:hAnsi="Verdana"/>
          <w:sz w:val="20"/>
        </w:rPr>
      </w:pPr>
    </w:p>
    <w:p w:rsidR="00625DF4" w:rsidRPr="004E4263" w:rsidRDefault="004E4263" w:rsidP="003A15D0">
      <w:pPr>
        <w:pStyle w:val="Title"/>
        <w:rPr>
          <w:rFonts w:ascii="Verdana" w:hAnsi="Verdana"/>
          <w:sz w:val="20"/>
        </w:rPr>
      </w:pPr>
      <w:r>
        <w:rPr>
          <w:rFonts w:ascii="Verdana" w:hAnsi="Verdana"/>
          <w:sz w:val="20"/>
        </w:rPr>
        <w:t xml:space="preserve">Table 2. </w:t>
      </w:r>
      <w:r w:rsidR="00625DF4" w:rsidRPr="004E4263">
        <w:rPr>
          <w:rFonts w:ascii="Verdana" w:hAnsi="Verdana"/>
          <w:sz w:val="20"/>
        </w:rPr>
        <w:t xml:space="preserve">File Layout for Direct Care Completion Factors </w:t>
      </w:r>
      <w:r w:rsidR="003A15D0" w:rsidRPr="004E4263">
        <w:rPr>
          <w:rFonts w:ascii="Verdana" w:hAnsi="Verdana"/>
          <w:sz w:val="20"/>
        </w:rPr>
        <w:t xml:space="preserve">for </w:t>
      </w:r>
      <w:r w:rsidR="00625DF4" w:rsidRPr="004E4263">
        <w:rPr>
          <w:rFonts w:ascii="Verdana" w:hAnsi="Verdana"/>
          <w:sz w:val="20"/>
        </w:rPr>
        <w:t>SIDR</w:t>
      </w:r>
    </w:p>
    <w:p w:rsidR="003A15D0" w:rsidRPr="004E4263" w:rsidRDefault="003A15D0" w:rsidP="003A15D0">
      <w:pPr>
        <w:pStyle w:val="Title"/>
        <w:jc w:val="both"/>
        <w:rPr>
          <w:rFonts w:ascii="Verdana" w:hAnsi="Verdana"/>
          <w:b w:val="0"/>
          <w:sz w:val="20"/>
        </w:rPr>
      </w:pPr>
    </w:p>
    <w:tbl>
      <w:tblPr>
        <w:tblW w:w="781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3797"/>
        <w:gridCol w:w="1243"/>
        <w:gridCol w:w="1766"/>
      </w:tblGrid>
      <w:tr w:rsidR="003A15D0" w:rsidRPr="004E4263">
        <w:trPr>
          <w:tblHeader/>
          <w:jc w:val="center"/>
        </w:trPr>
        <w:tc>
          <w:tcPr>
            <w:tcW w:w="1013" w:type="dxa"/>
            <w:shd w:val="clear" w:color="auto" w:fill="CCCCCC"/>
          </w:tcPr>
          <w:p w:rsidR="003A15D0" w:rsidRPr="004E4263" w:rsidRDefault="003A15D0" w:rsidP="00625DF4">
            <w:pPr>
              <w:pStyle w:val="Title"/>
              <w:rPr>
                <w:rFonts w:ascii="Verdana" w:hAnsi="Verdana"/>
                <w:sz w:val="20"/>
              </w:rPr>
            </w:pPr>
            <w:bookmarkStart w:id="0" w:name="_GoBack" w:colFirst="0" w:colLast="4"/>
            <w:r w:rsidRPr="004E4263">
              <w:rPr>
                <w:rFonts w:ascii="Verdana" w:hAnsi="Verdana"/>
                <w:sz w:val="20"/>
              </w:rPr>
              <w:t>Field</w:t>
            </w:r>
          </w:p>
        </w:tc>
        <w:tc>
          <w:tcPr>
            <w:tcW w:w="3797" w:type="dxa"/>
            <w:shd w:val="clear" w:color="auto" w:fill="CCCCCC"/>
          </w:tcPr>
          <w:p w:rsidR="003A15D0" w:rsidRPr="004E4263" w:rsidRDefault="003A15D0" w:rsidP="00625DF4">
            <w:pPr>
              <w:pStyle w:val="Title"/>
              <w:rPr>
                <w:rFonts w:ascii="Verdana" w:hAnsi="Verdana"/>
                <w:sz w:val="20"/>
              </w:rPr>
            </w:pPr>
            <w:r w:rsidRPr="004E4263">
              <w:rPr>
                <w:rFonts w:ascii="Verdana" w:hAnsi="Verdana"/>
                <w:sz w:val="20"/>
              </w:rPr>
              <w:t>Element Name</w:t>
            </w:r>
          </w:p>
        </w:tc>
        <w:tc>
          <w:tcPr>
            <w:tcW w:w="1243" w:type="dxa"/>
            <w:shd w:val="clear" w:color="auto" w:fill="CCCCCC"/>
          </w:tcPr>
          <w:p w:rsidR="003A15D0" w:rsidRPr="004E4263" w:rsidRDefault="003A15D0" w:rsidP="00625DF4">
            <w:pPr>
              <w:pStyle w:val="Title"/>
              <w:rPr>
                <w:rFonts w:ascii="Verdana" w:hAnsi="Verdana"/>
                <w:sz w:val="20"/>
              </w:rPr>
            </w:pPr>
            <w:r w:rsidRPr="004E4263">
              <w:rPr>
                <w:rFonts w:ascii="Verdana" w:hAnsi="Verdana"/>
                <w:sz w:val="20"/>
              </w:rPr>
              <w:t>Type</w:t>
            </w:r>
          </w:p>
        </w:tc>
        <w:tc>
          <w:tcPr>
            <w:tcW w:w="1766" w:type="dxa"/>
            <w:shd w:val="clear" w:color="auto" w:fill="CCCCCC"/>
          </w:tcPr>
          <w:p w:rsidR="003A15D0" w:rsidRPr="004E4263" w:rsidRDefault="003A15D0" w:rsidP="00625DF4">
            <w:pPr>
              <w:pStyle w:val="Title"/>
              <w:rPr>
                <w:rFonts w:ascii="Verdana" w:hAnsi="Verdana"/>
                <w:sz w:val="20"/>
              </w:rPr>
            </w:pPr>
            <w:r w:rsidRPr="004E4263">
              <w:rPr>
                <w:rFonts w:ascii="Verdana" w:hAnsi="Verdana"/>
                <w:sz w:val="20"/>
              </w:rPr>
              <w:t>Values</w:t>
            </w:r>
          </w:p>
        </w:tc>
      </w:tr>
      <w:tr w:rsidR="003A15D0" w:rsidRPr="004E4263">
        <w:trPr>
          <w:jc w:val="center"/>
        </w:trPr>
        <w:tc>
          <w:tcPr>
            <w:tcW w:w="1013" w:type="dxa"/>
          </w:tcPr>
          <w:p w:rsidR="003A15D0" w:rsidRPr="004E4263" w:rsidRDefault="003A15D0" w:rsidP="00625DF4">
            <w:pPr>
              <w:pStyle w:val="Title"/>
              <w:rPr>
                <w:rFonts w:ascii="Verdana" w:hAnsi="Verdana"/>
                <w:b w:val="0"/>
                <w:sz w:val="20"/>
              </w:rPr>
            </w:pPr>
            <w:r w:rsidRPr="004E4263">
              <w:rPr>
                <w:rFonts w:ascii="Verdana" w:hAnsi="Verdana"/>
                <w:b w:val="0"/>
                <w:sz w:val="20"/>
              </w:rPr>
              <w:t>1</w:t>
            </w:r>
          </w:p>
        </w:tc>
        <w:tc>
          <w:tcPr>
            <w:tcW w:w="3797" w:type="dxa"/>
          </w:tcPr>
          <w:p w:rsidR="003A15D0" w:rsidRPr="004E4263" w:rsidRDefault="003A15D0" w:rsidP="00625DF4">
            <w:pPr>
              <w:pStyle w:val="Title"/>
              <w:jc w:val="both"/>
              <w:rPr>
                <w:rFonts w:ascii="Verdana" w:hAnsi="Verdana"/>
                <w:b w:val="0"/>
                <w:sz w:val="20"/>
              </w:rPr>
            </w:pPr>
            <w:proofErr w:type="spellStart"/>
            <w:r w:rsidRPr="004E4263">
              <w:rPr>
                <w:rFonts w:ascii="Verdana" w:hAnsi="Verdana"/>
                <w:b w:val="0"/>
                <w:sz w:val="20"/>
              </w:rPr>
              <w:t>Tmt</w:t>
            </w:r>
            <w:proofErr w:type="spellEnd"/>
            <w:r w:rsidRPr="004E4263">
              <w:rPr>
                <w:rFonts w:ascii="Verdana" w:hAnsi="Verdana"/>
                <w:b w:val="0"/>
                <w:sz w:val="20"/>
              </w:rPr>
              <w:t xml:space="preserve"> DMIS ID</w:t>
            </w:r>
          </w:p>
        </w:tc>
        <w:tc>
          <w:tcPr>
            <w:tcW w:w="1243" w:type="dxa"/>
          </w:tcPr>
          <w:p w:rsidR="003A15D0" w:rsidRPr="004E4263" w:rsidRDefault="003A15D0" w:rsidP="00625DF4">
            <w:pPr>
              <w:pStyle w:val="Title"/>
              <w:rPr>
                <w:rFonts w:ascii="Verdana" w:hAnsi="Verdana"/>
                <w:b w:val="0"/>
                <w:sz w:val="20"/>
              </w:rPr>
            </w:pPr>
            <w:r w:rsidRPr="004E4263">
              <w:rPr>
                <w:rFonts w:ascii="Verdana" w:hAnsi="Verdana"/>
                <w:b w:val="0"/>
                <w:sz w:val="20"/>
              </w:rPr>
              <w:t>Char(4)</w:t>
            </w:r>
          </w:p>
        </w:tc>
        <w:tc>
          <w:tcPr>
            <w:tcW w:w="1766" w:type="dxa"/>
          </w:tcPr>
          <w:p w:rsidR="003A15D0" w:rsidRPr="004E4263" w:rsidRDefault="003A15D0" w:rsidP="00625DF4">
            <w:pPr>
              <w:pStyle w:val="Title"/>
              <w:rPr>
                <w:rFonts w:ascii="Verdana" w:hAnsi="Verdana"/>
                <w:b w:val="0"/>
                <w:sz w:val="20"/>
              </w:rPr>
            </w:pPr>
            <w:r w:rsidRPr="004E4263">
              <w:rPr>
                <w:rFonts w:ascii="Verdana" w:hAnsi="Verdana"/>
                <w:b w:val="0"/>
                <w:sz w:val="20"/>
              </w:rPr>
              <w:t>e.g., 0117</w:t>
            </w:r>
          </w:p>
        </w:tc>
      </w:tr>
      <w:tr w:rsidR="003A15D0" w:rsidRPr="004E4263">
        <w:trPr>
          <w:jc w:val="center"/>
        </w:trPr>
        <w:tc>
          <w:tcPr>
            <w:tcW w:w="1013" w:type="dxa"/>
          </w:tcPr>
          <w:p w:rsidR="003A15D0" w:rsidRPr="004E4263" w:rsidRDefault="003A15D0" w:rsidP="00625DF4">
            <w:pPr>
              <w:pStyle w:val="Title"/>
              <w:rPr>
                <w:rFonts w:ascii="Verdana" w:hAnsi="Verdana"/>
                <w:b w:val="0"/>
                <w:sz w:val="20"/>
              </w:rPr>
            </w:pPr>
            <w:r w:rsidRPr="004E4263">
              <w:rPr>
                <w:rFonts w:ascii="Verdana" w:hAnsi="Verdana"/>
                <w:b w:val="0"/>
                <w:sz w:val="20"/>
              </w:rPr>
              <w:t>2</w:t>
            </w:r>
          </w:p>
        </w:tc>
        <w:tc>
          <w:tcPr>
            <w:tcW w:w="3797" w:type="dxa"/>
          </w:tcPr>
          <w:p w:rsidR="003A15D0" w:rsidRPr="004E4263" w:rsidRDefault="003A15D0" w:rsidP="00625DF4">
            <w:pPr>
              <w:pStyle w:val="Title"/>
              <w:jc w:val="both"/>
              <w:rPr>
                <w:rFonts w:ascii="Verdana" w:hAnsi="Verdana"/>
                <w:b w:val="0"/>
                <w:sz w:val="20"/>
              </w:rPr>
            </w:pPr>
            <w:r w:rsidRPr="004E4263">
              <w:rPr>
                <w:rFonts w:ascii="Verdana" w:hAnsi="Verdana"/>
                <w:b w:val="0"/>
                <w:sz w:val="20"/>
              </w:rPr>
              <w:t>Fiscal Year</w:t>
            </w:r>
          </w:p>
        </w:tc>
        <w:tc>
          <w:tcPr>
            <w:tcW w:w="1243" w:type="dxa"/>
          </w:tcPr>
          <w:p w:rsidR="003A15D0" w:rsidRPr="004E4263" w:rsidRDefault="003A15D0" w:rsidP="00625DF4">
            <w:pPr>
              <w:pStyle w:val="Title"/>
              <w:rPr>
                <w:rFonts w:ascii="Verdana" w:hAnsi="Verdana"/>
                <w:b w:val="0"/>
                <w:sz w:val="20"/>
              </w:rPr>
            </w:pPr>
            <w:r w:rsidRPr="004E4263">
              <w:rPr>
                <w:rFonts w:ascii="Verdana" w:hAnsi="Verdana"/>
                <w:b w:val="0"/>
                <w:sz w:val="20"/>
              </w:rPr>
              <w:t>Char(4)</w:t>
            </w:r>
          </w:p>
        </w:tc>
        <w:tc>
          <w:tcPr>
            <w:tcW w:w="1766" w:type="dxa"/>
          </w:tcPr>
          <w:p w:rsidR="003A15D0" w:rsidRPr="004E4263" w:rsidRDefault="003A15D0" w:rsidP="00625DF4">
            <w:pPr>
              <w:pStyle w:val="Title"/>
              <w:rPr>
                <w:rFonts w:ascii="Verdana" w:hAnsi="Verdana"/>
                <w:b w:val="0"/>
                <w:sz w:val="20"/>
              </w:rPr>
            </w:pPr>
            <w:r w:rsidRPr="004E4263">
              <w:rPr>
                <w:rFonts w:ascii="Verdana" w:hAnsi="Verdana"/>
                <w:b w:val="0"/>
                <w:sz w:val="20"/>
              </w:rPr>
              <w:t>e.g., 2001</w:t>
            </w:r>
          </w:p>
        </w:tc>
      </w:tr>
      <w:tr w:rsidR="003A15D0" w:rsidRPr="004E4263">
        <w:trPr>
          <w:jc w:val="center"/>
        </w:trPr>
        <w:tc>
          <w:tcPr>
            <w:tcW w:w="1013" w:type="dxa"/>
          </w:tcPr>
          <w:p w:rsidR="003A15D0" w:rsidRPr="004E4263" w:rsidRDefault="003A15D0" w:rsidP="00625DF4">
            <w:pPr>
              <w:pStyle w:val="Title"/>
              <w:rPr>
                <w:rFonts w:ascii="Verdana" w:hAnsi="Verdana"/>
                <w:b w:val="0"/>
                <w:sz w:val="20"/>
              </w:rPr>
            </w:pPr>
            <w:r w:rsidRPr="004E4263">
              <w:rPr>
                <w:rFonts w:ascii="Verdana" w:hAnsi="Verdana"/>
                <w:b w:val="0"/>
                <w:sz w:val="20"/>
              </w:rPr>
              <w:t>3</w:t>
            </w:r>
          </w:p>
        </w:tc>
        <w:tc>
          <w:tcPr>
            <w:tcW w:w="3797" w:type="dxa"/>
          </w:tcPr>
          <w:p w:rsidR="003A15D0" w:rsidRPr="004E4263" w:rsidRDefault="003A15D0" w:rsidP="00625DF4">
            <w:pPr>
              <w:pStyle w:val="Title"/>
              <w:jc w:val="both"/>
              <w:rPr>
                <w:rFonts w:ascii="Verdana" w:hAnsi="Verdana"/>
                <w:b w:val="0"/>
                <w:sz w:val="20"/>
              </w:rPr>
            </w:pPr>
            <w:r w:rsidRPr="004E4263">
              <w:rPr>
                <w:rFonts w:ascii="Verdana" w:hAnsi="Verdana"/>
                <w:b w:val="0"/>
                <w:sz w:val="20"/>
              </w:rPr>
              <w:t>Fiscal Month</w:t>
            </w:r>
          </w:p>
        </w:tc>
        <w:tc>
          <w:tcPr>
            <w:tcW w:w="1243" w:type="dxa"/>
          </w:tcPr>
          <w:p w:rsidR="003A15D0" w:rsidRPr="004E4263" w:rsidRDefault="003A15D0" w:rsidP="00625DF4">
            <w:pPr>
              <w:pStyle w:val="Title"/>
              <w:rPr>
                <w:rFonts w:ascii="Verdana" w:hAnsi="Verdana"/>
                <w:b w:val="0"/>
                <w:sz w:val="20"/>
              </w:rPr>
            </w:pPr>
            <w:r w:rsidRPr="004E4263">
              <w:rPr>
                <w:rFonts w:ascii="Verdana" w:hAnsi="Verdana"/>
                <w:b w:val="0"/>
                <w:sz w:val="20"/>
              </w:rPr>
              <w:t>Char(2)</w:t>
            </w:r>
          </w:p>
        </w:tc>
        <w:tc>
          <w:tcPr>
            <w:tcW w:w="1766" w:type="dxa"/>
          </w:tcPr>
          <w:p w:rsidR="003A15D0" w:rsidRPr="004E4263" w:rsidRDefault="003A15D0" w:rsidP="00625DF4">
            <w:pPr>
              <w:pStyle w:val="Title"/>
              <w:rPr>
                <w:rFonts w:ascii="Verdana" w:hAnsi="Verdana"/>
                <w:b w:val="0"/>
                <w:sz w:val="20"/>
              </w:rPr>
            </w:pPr>
            <w:r w:rsidRPr="004E4263">
              <w:rPr>
                <w:rFonts w:ascii="Verdana" w:hAnsi="Verdana"/>
                <w:b w:val="0"/>
                <w:sz w:val="20"/>
              </w:rPr>
              <w:t>1 – 12</w:t>
            </w:r>
          </w:p>
        </w:tc>
      </w:tr>
      <w:tr w:rsidR="00F16E56" w:rsidRPr="004E4263">
        <w:trPr>
          <w:jc w:val="center"/>
        </w:trPr>
        <w:tc>
          <w:tcPr>
            <w:tcW w:w="1013" w:type="dxa"/>
          </w:tcPr>
          <w:p w:rsidR="00F16E56" w:rsidRPr="004E4263" w:rsidRDefault="00F16E56" w:rsidP="00625DF4">
            <w:pPr>
              <w:pStyle w:val="Title"/>
              <w:rPr>
                <w:rFonts w:ascii="Verdana" w:hAnsi="Verdana"/>
                <w:b w:val="0"/>
                <w:sz w:val="20"/>
              </w:rPr>
            </w:pPr>
            <w:r w:rsidRPr="004E4263">
              <w:rPr>
                <w:rFonts w:ascii="Verdana" w:hAnsi="Verdana"/>
                <w:b w:val="0"/>
                <w:sz w:val="20"/>
              </w:rPr>
              <w:t>4</w:t>
            </w:r>
          </w:p>
        </w:tc>
        <w:tc>
          <w:tcPr>
            <w:tcW w:w="3797" w:type="dxa"/>
          </w:tcPr>
          <w:p w:rsidR="00F16E56" w:rsidRPr="004E4263" w:rsidRDefault="00F16E56" w:rsidP="00625DF4">
            <w:pPr>
              <w:pStyle w:val="Title"/>
              <w:jc w:val="both"/>
              <w:rPr>
                <w:rFonts w:ascii="Verdana" w:hAnsi="Verdana"/>
                <w:b w:val="0"/>
                <w:sz w:val="20"/>
              </w:rPr>
            </w:pPr>
            <w:r w:rsidRPr="004E4263">
              <w:rPr>
                <w:rFonts w:ascii="Verdana" w:hAnsi="Verdana"/>
                <w:b w:val="0"/>
                <w:sz w:val="20"/>
              </w:rPr>
              <w:t>Disposition Completion Factor</w:t>
            </w:r>
          </w:p>
        </w:tc>
        <w:tc>
          <w:tcPr>
            <w:tcW w:w="1243" w:type="dxa"/>
          </w:tcPr>
          <w:p w:rsidR="00F16E56" w:rsidRPr="004E4263" w:rsidRDefault="00F16E56" w:rsidP="00625DF4">
            <w:pPr>
              <w:pStyle w:val="Title"/>
              <w:rPr>
                <w:rFonts w:ascii="Verdana" w:hAnsi="Verdana"/>
                <w:b w:val="0"/>
                <w:sz w:val="20"/>
              </w:rPr>
            </w:pPr>
            <w:r w:rsidRPr="004E4263">
              <w:rPr>
                <w:rFonts w:ascii="Verdana" w:hAnsi="Verdana"/>
                <w:b w:val="0"/>
                <w:sz w:val="20"/>
              </w:rPr>
              <w:t>Dec(9,7)</w:t>
            </w:r>
          </w:p>
        </w:tc>
        <w:tc>
          <w:tcPr>
            <w:tcW w:w="1766" w:type="dxa"/>
          </w:tcPr>
          <w:p w:rsidR="00F16E56" w:rsidRPr="004E4263" w:rsidRDefault="00F16E56" w:rsidP="00625DF4">
            <w:pPr>
              <w:pStyle w:val="Title"/>
              <w:rPr>
                <w:rFonts w:ascii="Verdana" w:hAnsi="Verdana"/>
                <w:b w:val="0"/>
                <w:sz w:val="20"/>
              </w:rPr>
            </w:pPr>
          </w:p>
        </w:tc>
      </w:tr>
      <w:tr w:rsidR="003A15D0" w:rsidRPr="004E4263">
        <w:trPr>
          <w:jc w:val="center"/>
        </w:trPr>
        <w:tc>
          <w:tcPr>
            <w:tcW w:w="1013" w:type="dxa"/>
          </w:tcPr>
          <w:p w:rsidR="003A15D0" w:rsidRPr="004E4263" w:rsidRDefault="00F16E56" w:rsidP="00625DF4">
            <w:pPr>
              <w:pStyle w:val="Title"/>
              <w:rPr>
                <w:rFonts w:ascii="Verdana" w:hAnsi="Verdana"/>
                <w:b w:val="0"/>
                <w:sz w:val="20"/>
              </w:rPr>
            </w:pPr>
            <w:r w:rsidRPr="004E4263">
              <w:rPr>
                <w:rFonts w:ascii="Verdana" w:hAnsi="Verdana"/>
                <w:b w:val="0"/>
                <w:sz w:val="20"/>
              </w:rPr>
              <w:t>5</w:t>
            </w:r>
          </w:p>
        </w:tc>
        <w:tc>
          <w:tcPr>
            <w:tcW w:w="3797" w:type="dxa"/>
          </w:tcPr>
          <w:p w:rsidR="003A15D0" w:rsidRPr="004E4263" w:rsidRDefault="00F16E56" w:rsidP="00625DF4">
            <w:pPr>
              <w:pStyle w:val="Title"/>
              <w:jc w:val="both"/>
              <w:rPr>
                <w:rFonts w:ascii="Verdana" w:hAnsi="Verdana"/>
                <w:b w:val="0"/>
                <w:sz w:val="20"/>
              </w:rPr>
            </w:pPr>
            <w:r w:rsidRPr="004E4263">
              <w:rPr>
                <w:rFonts w:ascii="Verdana" w:hAnsi="Verdana"/>
                <w:b w:val="0"/>
                <w:sz w:val="20"/>
              </w:rPr>
              <w:t>Cost/Workload Completion Factor</w:t>
            </w:r>
          </w:p>
        </w:tc>
        <w:tc>
          <w:tcPr>
            <w:tcW w:w="1243" w:type="dxa"/>
          </w:tcPr>
          <w:p w:rsidR="003A15D0" w:rsidRPr="004E4263" w:rsidRDefault="003A15D0" w:rsidP="00625DF4">
            <w:pPr>
              <w:pStyle w:val="Title"/>
              <w:rPr>
                <w:rFonts w:ascii="Verdana" w:hAnsi="Verdana"/>
                <w:b w:val="0"/>
                <w:sz w:val="20"/>
              </w:rPr>
            </w:pPr>
            <w:r w:rsidRPr="004E4263">
              <w:rPr>
                <w:rFonts w:ascii="Verdana" w:hAnsi="Verdana"/>
                <w:b w:val="0"/>
                <w:sz w:val="20"/>
              </w:rPr>
              <w:t>Dec(9,7)</w:t>
            </w:r>
          </w:p>
        </w:tc>
        <w:tc>
          <w:tcPr>
            <w:tcW w:w="1766" w:type="dxa"/>
          </w:tcPr>
          <w:p w:rsidR="003A15D0" w:rsidRPr="004E4263" w:rsidRDefault="003A15D0" w:rsidP="00625DF4">
            <w:pPr>
              <w:pStyle w:val="Title"/>
              <w:rPr>
                <w:rFonts w:ascii="Verdana" w:hAnsi="Verdana"/>
                <w:b w:val="0"/>
                <w:sz w:val="20"/>
              </w:rPr>
            </w:pPr>
          </w:p>
        </w:tc>
      </w:tr>
      <w:bookmarkEnd w:id="0"/>
    </w:tbl>
    <w:p w:rsidR="003A15D0" w:rsidRPr="004E4263" w:rsidRDefault="003A15D0" w:rsidP="003A15D0">
      <w:pPr>
        <w:pStyle w:val="Title"/>
        <w:jc w:val="left"/>
        <w:rPr>
          <w:rFonts w:ascii="Verdana" w:hAnsi="Verdana"/>
          <w:sz w:val="20"/>
        </w:rPr>
      </w:pPr>
    </w:p>
    <w:p w:rsidR="00625DF4" w:rsidRPr="004E4263" w:rsidRDefault="00625DF4" w:rsidP="004E4263">
      <w:pPr>
        <w:pStyle w:val="Title"/>
        <w:rPr>
          <w:rFonts w:ascii="Verdana" w:hAnsi="Verdana"/>
          <w:b w:val="0"/>
          <w:sz w:val="20"/>
        </w:rPr>
      </w:pPr>
      <w:r w:rsidRPr="004E4263">
        <w:rPr>
          <w:rFonts w:ascii="Verdana" w:hAnsi="Verdana"/>
          <w:sz w:val="20"/>
        </w:rPr>
        <w:br w:type="page"/>
      </w:r>
      <w:r w:rsidRPr="004E4263">
        <w:rPr>
          <w:rFonts w:ascii="Verdana" w:hAnsi="Verdana"/>
          <w:sz w:val="20"/>
        </w:rPr>
        <w:lastRenderedPageBreak/>
        <w:t>APPENDIX: HPA&amp;E Countable Visit Algorithm</w:t>
      </w:r>
    </w:p>
    <w:p w:rsidR="00625DF4" w:rsidRPr="004E4263" w:rsidRDefault="00625DF4" w:rsidP="001251E1">
      <w:pPr>
        <w:pStyle w:val="Title"/>
        <w:jc w:val="both"/>
        <w:rPr>
          <w:rFonts w:ascii="Verdana" w:hAnsi="Verdana"/>
          <w:b w:val="0"/>
          <w:sz w:val="20"/>
        </w:rPr>
      </w:pPr>
    </w:p>
    <w:p w:rsidR="006559EB" w:rsidRPr="004E4263" w:rsidRDefault="006559EB" w:rsidP="006559EB">
      <w:pPr>
        <w:jc w:val="both"/>
        <w:rPr>
          <w:rFonts w:ascii="Verdana" w:hAnsi="Verdana"/>
        </w:rPr>
      </w:pPr>
      <w:r w:rsidRPr="004E4263">
        <w:rPr>
          <w:rFonts w:ascii="Verdana" w:hAnsi="Verdana"/>
        </w:rPr>
        <w:t>The HPA&amp;E Countable Visit Algorithm is an attempt to identify which SADRs are likely to be of appointment types classified as “countable” in the CHCS user-controlled table. This is helpful for estimation of the number of appointments for which there are no SADRs based on the reported number of countable visits from systems fed by CHCS (MEPRS and WWR, for example).</w:t>
      </w:r>
    </w:p>
    <w:p w:rsidR="006559EB" w:rsidRPr="004E4263" w:rsidRDefault="006559EB" w:rsidP="006559EB">
      <w:pPr>
        <w:jc w:val="both"/>
        <w:rPr>
          <w:rFonts w:ascii="Verdana" w:hAnsi="Verdana"/>
          <w:b/>
        </w:rPr>
      </w:pPr>
    </w:p>
    <w:p w:rsidR="006559EB" w:rsidRPr="004E4263" w:rsidRDefault="006559EB" w:rsidP="006559EB">
      <w:pPr>
        <w:jc w:val="both"/>
        <w:rPr>
          <w:rFonts w:ascii="Verdana" w:hAnsi="Verdana"/>
        </w:rPr>
      </w:pPr>
      <w:r w:rsidRPr="004E4263">
        <w:rPr>
          <w:rFonts w:ascii="Verdana" w:hAnsi="Verdana"/>
        </w:rPr>
        <w:t>The algorithm counts SADRs that satisfy the following criteria:</w:t>
      </w:r>
    </w:p>
    <w:p w:rsidR="006559EB" w:rsidRPr="004E4263" w:rsidRDefault="006559EB" w:rsidP="006559EB">
      <w:pPr>
        <w:jc w:val="both"/>
        <w:rPr>
          <w:rFonts w:ascii="Verdana" w:hAnsi="Verdana"/>
          <w:b/>
        </w:rPr>
      </w:pPr>
    </w:p>
    <w:p w:rsidR="006559EB" w:rsidRPr="004E4263" w:rsidRDefault="006559EB" w:rsidP="006559EB">
      <w:pPr>
        <w:numPr>
          <w:ilvl w:val="0"/>
          <w:numId w:val="12"/>
        </w:numPr>
        <w:jc w:val="both"/>
        <w:rPr>
          <w:rFonts w:ascii="Verdana" w:hAnsi="Verdana"/>
        </w:rPr>
      </w:pPr>
      <w:r w:rsidRPr="004E4263">
        <w:rPr>
          <w:rFonts w:ascii="Verdana" w:hAnsi="Verdana"/>
        </w:rPr>
        <w:t xml:space="preserve">The work center is designated as an ambulatory care work center </w:t>
      </w:r>
      <w:r w:rsidR="00F16E56" w:rsidRPr="004E4263">
        <w:rPr>
          <w:rFonts w:ascii="Verdana" w:hAnsi="Verdana"/>
        </w:rPr>
        <w:t xml:space="preserve">as </w:t>
      </w:r>
      <w:r w:rsidRPr="004E4263">
        <w:rPr>
          <w:rFonts w:ascii="Verdana" w:hAnsi="Verdana"/>
        </w:rPr>
        <w:t xml:space="preserve">MEPRS code begins with “B” </w:t>
      </w:r>
      <w:r w:rsidRPr="004E4263">
        <w:rPr>
          <w:rFonts w:ascii="Verdana" w:hAnsi="Verdana"/>
          <w:b/>
        </w:rPr>
        <w:t>AND</w:t>
      </w:r>
    </w:p>
    <w:p w:rsidR="006559EB" w:rsidRPr="004E4263" w:rsidRDefault="006559EB" w:rsidP="006559EB">
      <w:pPr>
        <w:jc w:val="both"/>
        <w:rPr>
          <w:rFonts w:ascii="Verdana" w:hAnsi="Verdana"/>
        </w:rPr>
      </w:pPr>
    </w:p>
    <w:p w:rsidR="006559EB" w:rsidRPr="004E4263" w:rsidRDefault="006559EB" w:rsidP="006559EB">
      <w:pPr>
        <w:numPr>
          <w:ilvl w:val="0"/>
          <w:numId w:val="12"/>
        </w:numPr>
        <w:jc w:val="both"/>
        <w:rPr>
          <w:rFonts w:ascii="Verdana" w:hAnsi="Verdana"/>
        </w:rPr>
      </w:pPr>
      <w:r w:rsidRPr="004E4263">
        <w:rPr>
          <w:rFonts w:ascii="Verdana" w:hAnsi="Verdana"/>
        </w:rPr>
        <w:t>SADRs are not for no-shows or cancellations (Appointment type = 2, 5, 7, 8, or 9) or for patients who left without being seen (Disposition type = 5) AND</w:t>
      </w:r>
    </w:p>
    <w:p w:rsidR="006559EB" w:rsidRPr="004E4263" w:rsidRDefault="006559EB" w:rsidP="006559EB">
      <w:pPr>
        <w:jc w:val="both"/>
        <w:rPr>
          <w:rFonts w:ascii="Verdana" w:hAnsi="Verdana"/>
        </w:rPr>
      </w:pPr>
    </w:p>
    <w:p w:rsidR="00C90775" w:rsidRPr="004E4263" w:rsidRDefault="00C90775" w:rsidP="00C90775">
      <w:pPr>
        <w:numPr>
          <w:ilvl w:val="0"/>
          <w:numId w:val="12"/>
        </w:numPr>
        <w:jc w:val="both"/>
        <w:rPr>
          <w:rFonts w:ascii="Verdana" w:hAnsi="Verdana"/>
        </w:rPr>
      </w:pPr>
      <w:r w:rsidRPr="004E4263">
        <w:rPr>
          <w:rFonts w:ascii="Verdana" w:hAnsi="Verdana"/>
          <w:u w:val="single"/>
        </w:rPr>
        <w:t>At least one</w:t>
      </w:r>
      <w:r w:rsidRPr="004E4263">
        <w:rPr>
          <w:rFonts w:ascii="Verdana" w:hAnsi="Verdana"/>
        </w:rPr>
        <w:t xml:space="preserve"> of the following is true:</w:t>
      </w:r>
    </w:p>
    <w:p w:rsidR="00C90775" w:rsidRPr="004E4263" w:rsidRDefault="00C90775" w:rsidP="00C90775">
      <w:pPr>
        <w:numPr>
          <w:ilvl w:val="0"/>
          <w:numId w:val="13"/>
        </w:numPr>
        <w:tabs>
          <w:tab w:val="clear" w:pos="360"/>
          <w:tab w:val="num" w:pos="1080"/>
        </w:tabs>
        <w:ind w:left="1080"/>
        <w:jc w:val="both"/>
        <w:rPr>
          <w:rFonts w:ascii="Verdana" w:hAnsi="Verdana"/>
        </w:rPr>
      </w:pPr>
      <w:r w:rsidRPr="004E4263">
        <w:rPr>
          <w:rFonts w:ascii="Verdana" w:hAnsi="Verdana"/>
        </w:rPr>
        <w:t>The provider specialty indicates a provider status authorizing independent skilled caregiving.</w:t>
      </w:r>
      <w:r w:rsidRPr="004E4263">
        <w:rPr>
          <w:rStyle w:val="FootnoteReference"/>
          <w:rFonts w:ascii="Verdana" w:hAnsi="Verdana"/>
        </w:rPr>
        <w:footnoteReference w:id="1"/>
      </w:r>
      <w:r w:rsidRPr="004E4263">
        <w:rPr>
          <w:rFonts w:ascii="Verdana" w:hAnsi="Verdana"/>
        </w:rPr>
        <w:t xml:space="preserve"> </w:t>
      </w:r>
    </w:p>
    <w:p w:rsidR="00C90775" w:rsidRPr="004E4263" w:rsidRDefault="00C90775" w:rsidP="00C90775">
      <w:pPr>
        <w:numPr>
          <w:ilvl w:val="0"/>
          <w:numId w:val="13"/>
        </w:numPr>
        <w:tabs>
          <w:tab w:val="clear" w:pos="360"/>
          <w:tab w:val="num" w:pos="1080"/>
        </w:tabs>
        <w:ind w:left="1080"/>
        <w:jc w:val="both"/>
        <w:rPr>
          <w:rFonts w:ascii="Verdana" w:hAnsi="Verdana"/>
        </w:rPr>
      </w:pPr>
      <w:r w:rsidRPr="004E4263">
        <w:rPr>
          <w:rFonts w:ascii="Verdana" w:hAnsi="Verdana"/>
        </w:rPr>
        <w:t>The clinic is a specialty clinic where the primary providers are not normally of that status, and the E&amp;M code is 99211.</w:t>
      </w:r>
      <w:r w:rsidRPr="004E4263">
        <w:rPr>
          <w:rStyle w:val="FootnoteReference"/>
          <w:rFonts w:ascii="Verdana" w:hAnsi="Verdana"/>
        </w:rPr>
        <w:footnoteReference w:id="2"/>
      </w:r>
    </w:p>
    <w:p w:rsidR="00C90775" w:rsidRPr="004E4263" w:rsidRDefault="00C90775" w:rsidP="00C90775">
      <w:pPr>
        <w:numPr>
          <w:ilvl w:val="0"/>
          <w:numId w:val="13"/>
        </w:numPr>
        <w:tabs>
          <w:tab w:val="clear" w:pos="360"/>
          <w:tab w:val="num" w:pos="1080"/>
        </w:tabs>
        <w:ind w:left="1080"/>
        <w:jc w:val="both"/>
        <w:rPr>
          <w:rFonts w:ascii="Verdana" w:hAnsi="Verdana"/>
        </w:rPr>
      </w:pPr>
      <w:r w:rsidRPr="004E4263">
        <w:rPr>
          <w:rFonts w:ascii="Verdana" w:hAnsi="Verdana"/>
        </w:rPr>
        <w:t>A significant service occurred and was reported in the E&amp;M CPT Code.</w:t>
      </w:r>
      <w:r w:rsidRPr="004E4263">
        <w:rPr>
          <w:rStyle w:val="FootnoteReference"/>
          <w:rFonts w:ascii="Verdana" w:hAnsi="Verdana"/>
        </w:rPr>
        <w:footnoteReference w:id="3"/>
      </w:r>
    </w:p>
    <w:p w:rsidR="00C90775" w:rsidRPr="004E4263" w:rsidRDefault="00C90775" w:rsidP="00C90775">
      <w:pPr>
        <w:numPr>
          <w:ilvl w:val="0"/>
          <w:numId w:val="13"/>
        </w:numPr>
        <w:tabs>
          <w:tab w:val="clear" w:pos="360"/>
          <w:tab w:val="num" w:pos="1080"/>
        </w:tabs>
        <w:ind w:left="1080"/>
        <w:jc w:val="both"/>
        <w:rPr>
          <w:rFonts w:ascii="Verdana" w:hAnsi="Verdana"/>
        </w:rPr>
      </w:pPr>
      <w:r w:rsidRPr="004E4263">
        <w:rPr>
          <w:rFonts w:ascii="Verdana" w:hAnsi="Verdana"/>
        </w:rPr>
        <w:t>The clinic is a significant ambulatory procedure visit (APV) clinic</w:t>
      </w:r>
      <w:r w:rsidRPr="004E4263">
        <w:rPr>
          <w:rStyle w:val="FootnoteReference"/>
          <w:rFonts w:ascii="Verdana" w:hAnsi="Verdana"/>
        </w:rPr>
        <w:footnoteReference w:id="4"/>
      </w:r>
    </w:p>
    <w:p w:rsidR="00C90775" w:rsidRPr="004E4263" w:rsidRDefault="00C90775" w:rsidP="00C90775">
      <w:pPr>
        <w:numPr>
          <w:ilvl w:val="0"/>
          <w:numId w:val="13"/>
        </w:numPr>
        <w:tabs>
          <w:tab w:val="clear" w:pos="360"/>
          <w:tab w:val="num" w:pos="1080"/>
        </w:tabs>
        <w:ind w:left="1080"/>
        <w:jc w:val="both"/>
        <w:rPr>
          <w:rFonts w:ascii="Verdana" w:hAnsi="Verdana"/>
        </w:rPr>
      </w:pPr>
      <w:r w:rsidRPr="004E4263">
        <w:rPr>
          <w:rFonts w:ascii="Verdana" w:hAnsi="Verdana"/>
        </w:rPr>
        <w:t>The clinic is an allergy clinic, E&amp;M code is 99211, and at least one of the four procedural CPT codes falls in the significant procedure ranges for allergy work.</w:t>
      </w:r>
      <w:r w:rsidRPr="004E4263">
        <w:rPr>
          <w:rStyle w:val="FootnoteReference"/>
          <w:rFonts w:ascii="Verdana" w:hAnsi="Verdana"/>
        </w:rPr>
        <w:footnoteReference w:id="5"/>
      </w:r>
    </w:p>
    <w:p w:rsidR="00C90775" w:rsidRPr="004E4263" w:rsidRDefault="00C90775" w:rsidP="00C90775">
      <w:pPr>
        <w:jc w:val="both"/>
        <w:rPr>
          <w:rFonts w:ascii="Verdana" w:hAnsi="Verdana"/>
          <w:u w:val="single"/>
        </w:rPr>
      </w:pPr>
    </w:p>
    <w:p w:rsidR="006559EB" w:rsidRPr="004E4263" w:rsidRDefault="00C90775" w:rsidP="006559EB">
      <w:pPr>
        <w:numPr>
          <w:ilvl w:val="0"/>
          <w:numId w:val="12"/>
        </w:numPr>
        <w:jc w:val="both"/>
        <w:rPr>
          <w:rFonts w:ascii="Verdana" w:hAnsi="Verdana"/>
        </w:rPr>
      </w:pPr>
      <w:r w:rsidRPr="004E4263">
        <w:rPr>
          <w:rFonts w:ascii="Verdana" w:hAnsi="Verdana"/>
        </w:rPr>
        <w:t>If the first three characters of the MEPRS code are "FBN", the countable visit flag is "Y" regardless of any other characteristics in the SADR.</w:t>
      </w:r>
    </w:p>
    <w:p w:rsidR="00625DF4" w:rsidRPr="004E4263" w:rsidRDefault="00625DF4" w:rsidP="001251E1">
      <w:pPr>
        <w:pStyle w:val="PlainText"/>
        <w:jc w:val="both"/>
        <w:rPr>
          <w:rFonts w:ascii="Verdana" w:hAnsi="Verdana"/>
        </w:rPr>
      </w:pPr>
    </w:p>
    <w:p w:rsidR="00C90775" w:rsidRPr="004E4263" w:rsidRDefault="00C90775" w:rsidP="00C90775">
      <w:pPr>
        <w:pStyle w:val="PlainText"/>
        <w:jc w:val="both"/>
        <w:rPr>
          <w:rFonts w:ascii="Verdana" w:hAnsi="Verdana"/>
        </w:rPr>
      </w:pPr>
    </w:p>
    <w:sectPr w:rsidR="00C90775" w:rsidRPr="004E4263" w:rsidSect="007A5460">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0C" w:rsidRDefault="00F7560C">
      <w:r>
        <w:separator/>
      </w:r>
    </w:p>
  </w:endnote>
  <w:endnote w:type="continuationSeparator" w:id="0">
    <w:p w:rsidR="00F7560C" w:rsidRDefault="00F7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63C" w:rsidRDefault="004F5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563C" w:rsidRDefault="004F5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63C" w:rsidRPr="004E4263" w:rsidRDefault="004F563C">
    <w:pPr>
      <w:pStyle w:val="Footer"/>
      <w:rPr>
        <w:rFonts w:ascii="Verdana" w:hAnsi="Verdana"/>
      </w:rPr>
    </w:pPr>
    <w:r w:rsidRPr="004E4263">
      <w:rPr>
        <w:rFonts w:ascii="Verdana" w:hAnsi="Verdana"/>
      </w:rPr>
      <w:t>Version 1.0</w:t>
    </w:r>
    <w:r w:rsidR="009313EE">
      <w:rPr>
        <w:rFonts w:ascii="Verdana" w:hAnsi="Verdana"/>
      </w:rPr>
      <w:t>0</w:t>
    </w:r>
    <w:r w:rsidR="00003BE1">
      <w:rPr>
        <w:rFonts w:ascii="Verdana" w:hAnsi="Verdana"/>
      </w:rPr>
      <w:t>.0</w:t>
    </w:r>
    <w:r w:rsidR="009313EE">
      <w:rPr>
        <w:rFonts w:ascii="Verdana" w:hAnsi="Verdana"/>
      </w:rPr>
      <w:t>0</w:t>
    </w:r>
    <w:r>
      <w:rPr>
        <w:rFonts w:ascii="Verdana" w:hAnsi="Verdana"/>
      </w:rPr>
      <w:tab/>
    </w:r>
    <w:r w:rsidRPr="004E4263">
      <w:rPr>
        <w:rFonts w:ascii="Verdana" w:hAnsi="Verdana"/>
      </w:rPr>
      <w:t xml:space="preserve">MDR Direct CF - </w:t>
    </w:r>
    <w:r w:rsidRPr="004E4263">
      <w:rPr>
        <w:rStyle w:val="PageNumber"/>
        <w:rFonts w:ascii="Verdana" w:hAnsi="Verdana"/>
      </w:rPr>
      <w:fldChar w:fldCharType="begin"/>
    </w:r>
    <w:r w:rsidRPr="004E4263">
      <w:rPr>
        <w:rStyle w:val="PageNumber"/>
        <w:rFonts w:ascii="Verdana" w:hAnsi="Verdana"/>
      </w:rPr>
      <w:instrText xml:space="preserve"> PAGE </w:instrText>
    </w:r>
    <w:r w:rsidRPr="004E4263">
      <w:rPr>
        <w:rStyle w:val="PageNumber"/>
        <w:rFonts w:ascii="Verdana" w:hAnsi="Verdana"/>
      </w:rPr>
      <w:fldChar w:fldCharType="separate"/>
    </w:r>
    <w:r w:rsidR="006E2D96">
      <w:rPr>
        <w:rStyle w:val="PageNumber"/>
        <w:rFonts w:ascii="Verdana" w:hAnsi="Verdana"/>
        <w:noProof/>
      </w:rPr>
      <w:t>5</w:t>
    </w:r>
    <w:r w:rsidRPr="004E4263">
      <w:rPr>
        <w:rStyle w:val="PageNumber"/>
        <w:rFonts w:ascii="Verdana" w:hAnsi="Verdana"/>
      </w:rPr>
      <w:fldChar w:fldCharType="end"/>
    </w:r>
    <w:r>
      <w:rPr>
        <w:rStyle w:val="PageNumber"/>
        <w:rFonts w:ascii="Verdana" w:hAnsi="Verdana"/>
      </w:rPr>
      <w:tab/>
      <w:t xml:space="preserve">5 </w:t>
    </w:r>
    <w:r w:rsidRPr="004E4263">
      <w:rPr>
        <w:rStyle w:val="PageNumber"/>
        <w:rFonts w:ascii="Verdana" w:hAnsi="Verdana"/>
      </w:rPr>
      <w:t>February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0C" w:rsidRDefault="00F7560C">
      <w:r>
        <w:separator/>
      </w:r>
    </w:p>
  </w:footnote>
  <w:footnote w:type="continuationSeparator" w:id="0">
    <w:p w:rsidR="00F7560C" w:rsidRDefault="00F7560C">
      <w:r>
        <w:continuationSeparator/>
      </w:r>
    </w:p>
  </w:footnote>
  <w:footnote w:id="1">
    <w:p w:rsidR="004F563C" w:rsidRPr="004E4263" w:rsidRDefault="004F563C" w:rsidP="00C90775">
      <w:pPr>
        <w:pStyle w:val="FootnoteText"/>
        <w:jc w:val="both"/>
        <w:rPr>
          <w:rFonts w:ascii="Verdana" w:hAnsi="Verdana"/>
          <w:sz w:val="16"/>
          <w:szCs w:val="16"/>
        </w:rPr>
      </w:pPr>
      <w:r w:rsidRPr="004E4263">
        <w:rPr>
          <w:rStyle w:val="FootnoteReference"/>
          <w:rFonts w:ascii="Verdana" w:hAnsi="Verdana"/>
          <w:sz w:val="16"/>
          <w:szCs w:val="16"/>
        </w:rPr>
        <w:footnoteRef/>
      </w:r>
      <w:r w:rsidRPr="004E4263">
        <w:rPr>
          <w:rFonts w:ascii="Verdana" w:hAnsi="Verdana"/>
          <w:sz w:val="16"/>
          <w:szCs w:val="16"/>
        </w:rPr>
        <w:t xml:space="preserve"> These are provider specialties in the following ranges: 000-075, 080-108, 110-200, 204-208, 215, 300-400, 401-407, 500-518, 602-605, 607-700, 702-710, 713, 800-816, 901.</w:t>
      </w:r>
    </w:p>
  </w:footnote>
  <w:footnote w:id="2">
    <w:p w:rsidR="004F563C" w:rsidRPr="004E4263" w:rsidRDefault="004F563C" w:rsidP="00C90775">
      <w:pPr>
        <w:pStyle w:val="FootnoteText"/>
        <w:jc w:val="both"/>
        <w:rPr>
          <w:rFonts w:ascii="Verdana" w:hAnsi="Verdana"/>
          <w:sz w:val="16"/>
          <w:szCs w:val="16"/>
        </w:rPr>
      </w:pPr>
      <w:r w:rsidRPr="004E4263">
        <w:rPr>
          <w:rStyle w:val="FootnoteReference"/>
          <w:rFonts w:ascii="Verdana" w:hAnsi="Verdana"/>
          <w:sz w:val="16"/>
          <w:szCs w:val="16"/>
        </w:rPr>
        <w:footnoteRef/>
      </w:r>
      <w:r w:rsidRPr="004E4263">
        <w:rPr>
          <w:rFonts w:ascii="Verdana" w:hAnsi="Verdana"/>
          <w:sz w:val="16"/>
          <w:szCs w:val="16"/>
        </w:rPr>
        <w:t xml:space="preserve"> These are the clinics: Cast (BEB), Orthopedic Appliance (BEE), Social Work (BFE), Substance Abuse Rehab (BFF), Optometry (BHC), Physical Therapy (BLA), and Occupational Therapy (BLB).</w:t>
      </w:r>
    </w:p>
  </w:footnote>
  <w:footnote w:id="3">
    <w:p w:rsidR="004F563C" w:rsidRPr="004E4263" w:rsidRDefault="004F563C" w:rsidP="00C90775">
      <w:pPr>
        <w:pStyle w:val="FootnoteText"/>
        <w:jc w:val="both"/>
        <w:rPr>
          <w:rFonts w:ascii="Verdana" w:hAnsi="Verdana"/>
          <w:sz w:val="16"/>
          <w:szCs w:val="16"/>
        </w:rPr>
      </w:pPr>
      <w:r w:rsidRPr="004E4263">
        <w:rPr>
          <w:rStyle w:val="FootnoteReference"/>
          <w:rFonts w:ascii="Verdana" w:hAnsi="Verdana"/>
          <w:sz w:val="16"/>
          <w:szCs w:val="16"/>
        </w:rPr>
        <w:footnoteRef/>
      </w:r>
      <w:r w:rsidRPr="004E4263">
        <w:rPr>
          <w:rFonts w:ascii="Verdana" w:hAnsi="Verdana"/>
          <w:sz w:val="16"/>
          <w:szCs w:val="16"/>
        </w:rPr>
        <w:t xml:space="preserve"> Significant CPT codes are any in the ranges 99201-99205, 99212-99215, 99217-99223, 99231-99236, 99238-99239, 99241-99245, 99251-99255, 99261-99263, 99271-99275, 99281-99285, 99288, 99291-99292, 99295-99298, 99301-99303, 99311-99313, 99315-99316, 99321-99323, 99331-99333, 99341-99357, 99371-99373, 99381-99387, 99391-99397, 99401-99404, 99411, '99412, 99420, 99429, 99431-99440, 99450, 99455, 99456, 99499.</w:t>
      </w:r>
    </w:p>
  </w:footnote>
  <w:footnote w:id="4">
    <w:p w:rsidR="004F563C" w:rsidRPr="004E4263" w:rsidRDefault="004F563C" w:rsidP="00C90775">
      <w:pPr>
        <w:pStyle w:val="FootnoteText"/>
        <w:jc w:val="both"/>
        <w:rPr>
          <w:rFonts w:ascii="Verdana" w:hAnsi="Verdana"/>
          <w:sz w:val="16"/>
          <w:szCs w:val="16"/>
        </w:rPr>
      </w:pPr>
      <w:r w:rsidRPr="004E4263">
        <w:rPr>
          <w:rStyle w:val="FootnoteReference"/>
          <w:rFonts w:ascii="Verdana" w:hAnsi="Verdana"/>
          <w:sz w:val="16"/>
          <w:szCs w:val="16"/>
        </w:rPr>
        <w:footnoteRef/>
      </w:r>
      <w:r w:rsidRPr="004E4263">
        <w:rPr>
          <w:rFonts w:ascii="Verdana" w:hAnsi="Verdana"/>
          <w:sz w:val="16"/>
          <w:szCs w:val="16"/>
        </w:rPr>
        <w:t xml:space="preserve"> In all services for FY01 and backwards, these are clinics whose 4th position MEPRS code is a “5”; it also includes “7” for Army and Air Force in FY00 and FY01, and “9” for Air Force in FY00 and FY01. It is possible that some services use some other values besides “5” in FY99, but the MEPRS office had not responded by the date this was written. In all services for FY02 and forward, these are clinics whose 4th position MEPRS code is a “5” or “7”.</w:t>
      </w:r>
    </w:p>
  </w:footnote>
  <w:footnote w:id="5">
    <w:p w:rsidR="004F563C" w:rsidRPr="004E4263" w:rsidRDefault="004F563C" w:rsidP="00C90775">
      <w:pPr>
        <w:pStyle w:val="FootnoteText"/>
        <w:jc w:val="both"/>
        <w:rPr>
          <w:rFonts w:ascii="Verdana" w:hAnsi="Verdana"/>
          <w:sz w:val="16"/>
          <w:szCs w:val="16"/>
        </w:rPr>
      </w:pPr>
      <w:r w:rsidRPr="004E4263">
        <w:rPr>
          <w:rStyle w:val="FootnoteReference"/>
          <w:rFonts w:ascii="Verdana" w:hAnsi="Verdana"/>
          <w:sz w:val="16"/>
          <w:szCs w:val="16"/>
        </w:rPr>
        <w:footnoteRef/>
      </w:r>
      <w:r w:rsidRPr="004E4263">
        <w:rPr>
          <w:rFonts w:ascii="Verdana" w:hAnsi="Verdana"/>
          <w:sz w:val="16"/>
          <w:szCs w:val="16"/>
        </w:rPr>
        <w:t xml:space="preserve"> Significant allergy CPT codes are any in the ranges 95115, 95117, 95120, 95125, 95130-95134, 95144-95149, 95165, 95170, 95180, 95199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B71144"/>
    <w:multiLevelType w:val="singleLevel"/>
    <w:tmpl w:val="0409000F"/>
    <w:lvl w:ilvl="0">
      <w:start w:val="1"/>
      <w:numFmt w:val="decimal"/>
      <w:lvlText w:val="%1."/>
      <w:lvlJc w:val="left"/>
      <w:pPr>
        <w:tabs>
          <w:tab w:val="num" w:pos="360"/>
        </w:tabs>
        <w:ind w:left="360" w:hanging="360"/>
      </w:pPr>
    </w:lvl>
  </w:abstractNum>
  <w:abstractNum w:abstractNumId="2">
    <w:nsid w:val="1A667508"/>
    <w:multiLevelType w:val="singleLevel"/>
    <w:tmpl w:val="0409000F"/>
    <w:lvl w:ilvl="0">
      <w:start w:val="1"/>
      <w:numFmt w:val="decimal"/>
      <w:lvlText w:val="%1."/>
      <w:lvlJc w:val="left"/>
      <w:pPr>
        <w:tabs>
          <w:tab w:val="num" w:pos="360"/>
        </w:tabs>
        <w:ind w:left="360" w:hanging="360"/>
      </w:pPr>
    </w:lvl>
  </w:abstractNum>
  <w:abstractNum w:abstractNumId="3">
    <w:nsid w:val="1A9048A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nsid w:val="25060682"/>
    <w:multiLevelType w:val="hybridMultilevel"/>
    <w:tmpl w:val="9F76DE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15385F"/>
    <w:multiLevelType w:val="hybridMultilevel"/>
    <w:tmpl w:val="F9942A68"/>
    <w:lvl w:ilvl="0" w:tplc="D6482428">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71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902C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67D5C0D"/>
    <w:multiLevelType w:val="hybridMultilevel"/>
    <w:tmpl w:val="3F1CA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F32307"/>
    <w:multiLevelType w:val="hybridMultilevel"/>
    <w:tmpl w:val="DAA20094"/>
    <w:lvl w:ilvl="0" w:tplc="B646335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C933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50744434"/>
    <w:multiLevelType w:val="hybridMultilevel"/>
    <w:tmpl w:val="9B3274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3">
    <w:nsid w:val="5A5D797E"/>
    <w:multiLevelType w:val="singleLevel"/>
    <w:tmpl w:val="967EDB60"/>
    <w:lvl w:ilvl="0">
      <w:start w:val="1"/>
      <w:numFmt w:val="decimal"/>
      <w:lvlText w:val="%1."/>
      <w:lvlJc w:val="left"/>
      <w:pPr>
        <w:tabs>
          <w:tab w:val="num" w:pos="360"/>
        </w:tabs>
        <w:ind w:left="360" w:hanging="360"/>
      </w:pPr>
    </w:lvl>
  </w:abstractNum>
  <w:abstractNum w:abstractNumId="14">
    <w:nsid w:val="5D060228"/>
    <w:multiLevelType w:val="hybridMultilevel"/>
    <w:tmpl w:val="C33A19B4"/>
    <w:lvl w:ilvl="0" w:tplc="967C7ED2">
      <w:start w:val="1"/>
      <w:numFmt w:val="decimal"/>
      <w:lvlText w:val="%1."/>
      <w:lvlJc w:val="left"/>
      <w:pPr>
        <w:tabs>
          <w:tab w:val="num" w:pos="360"/>
        </w:tabs>
        <w:ind w:left="360" w:hanging="360"/>
      </w:pPr>
      <w:rPr>
        <w:rFonts w:hint="default"/>
      </w:rPr>
    </w:lvl>
    <w:lvl w:ilvl="1" w:tplc="77081460">
      <w:start w:val="6"/>
      <w:numFmt w:val="upperRoman"/>
      <w:lvlText w:val="%2."/>
      <w:lvlJc w:val="left"/>
      <w:pPr>
        <w:tabs>
          <w:tab w:val="num" w:pos="1800"/>
        </w:tabs>
        <w:ind w:left="1800" w:hanging="72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A67536"/>
    <w:multiLevelType w:val="singleLevel"/>
    <w:tmpl w:val="0AD6191C"/>
    <w:lvl w:ilvl="0">
      <w:start w:val="2"/>
      <w:numFmt w:val="upperLetter"/>
      <w:lvlText w:val="%1."/>
      <w:lvlJc w:val="left"/>
      <w:pPr>
        <w:tabs>
          <w:tab w:val="num" w:pos="1080"/>
        </w:tabs>
        <w:ind w:left="1080" w:hanging="360"/>
      </w:pPr>
      <w:rPr>
        <w:rFonts w:hint="default"/>
      </w:rPr>
    </w:lvl>
  </w:abstractNum>
  <w:abstractNum w:abstractNumId="16">
    <w:nsid w:val="69412E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6E045A24"/>
    <w:multiLevelType w:val="singleLevel"/>
    <w:tmpl w:val="0409000F"/>
    <w:lvl w:ilvl="0">
      <w:start w:val="1"/>
      <w:numFmt w:val="decimal"/>
      <w:lvlText w:val="%1."/>
      <w:lvlJc w:val="left"/>
      <w:pPr>
        <w:tabs>
          <w:tab w:val="num" w:pos="360"/>
        </w:tabs>
        <w:ind w:left="360" w:hanging="360"/>
      </w:pPr>
    </w:lvl>
  </w:abstractNum>
  <w:abstractNum w:abstractNumId="18">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277A9A"/>
    <w:multiLevelType w:val="multilevel"/>
    <w:tmpl w:val="9B32742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7617274B"/>
    <w:multiLevelType w:val="hybridMultilevel"/>
    <w:tmpl w:val="1F72A70E"/>
    <w:lvl w:ilvl="0" w:tplc="69C07B62">
      <w:start w:val="10"/>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9F5077"/>
    <w:multiLevelType w:val="singleLevel"/>
    <w:tmpl w:val="0409000F"/>
    <w:lvl w:ilvl="0">
      <w:start w:val="1"/>
      <w:numFmt w:val="decimal"/>
      <w:lvlText w:val="%1."/>
      <w:lvlJc w:val="left"/>
      <w:pPr>
        <w:tabs>
          <w:tab w:val="num" w:pos="360"/>
        </w:tabs>
        <w:ind w:left="360" w:hanging="360"/>
      </w:pPr>
    </w:lvl>
  </w:abstractNum>
  <w:num w:numId="1">
    <w:abstractNumId w:val="21"/>
  </w:num>
  <w:num w:numId="2">
    <w:abstractNumId w:val="7"/>
  </w:num>
  <w:num w:numId="3">
    <w:abstractNumId w:val="6"/>
  </w:num>
  <w:num w:numId="4">
    <w:abstractNumId w:val="1"/>
  </w:num>
  <w:num w:numId="5">
    <w:abstractNumId w:val="2"/>
  </w:num>
  <w:num w:numId="6">
    <w:abstractNumId w:val="17"/>
  </w:num>
  <w:num w:numId="7">
    <w:abstractNumId w:val="10"/>
  </w:num>
  <w:num w:numId="8">
    <w:abstractNumId w:val="16"/>
  </w:num>
  <w:num w:numId="9">
    <w:abstractNumId w:val="20"/>
  </w:num>
  <w:num w:numId="10">
    <w:abstractNumId w:val="15"/>
  </w:num>
  <w:num w:numId="11">
    <w:abstractNumId w:val="12"/>
  </w:num>
  <w:num w:numId="12">
    <w:abstractNumId w:val="13"/>
  </w:num>
  <w:num w:numId="13">
    <w:abstractNumId w:val="3"/>
  </w:num>
  <w:num w:numId="14">
    <w:abstractNumId w:val="14"/>
  </w:num>
  <w:num w:numId="15">
    <w:abstractNumId w:val="4"/>
  </w:num>
  <w:num w:numId="16">
    <w:abstractNumId w:val="8"/>
  </w:num>
  <w:num w:numId="17">
    <w:abstractNumId w:val="11"/>
  </w:num>
  <w:num w:numId="18">
    <w:abstractNumId w:val="19"/>
  </w:num>
  <w:num w:numId="19">
    <w:abstractNumId w:val="9"/>
  </w:num>
  <w:num w:numId="20">
    <w:abstractNumId w:val="0"/>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E1"/>
    <w:rsid w:val="00003BE1"/>
    <w:rsid w:val="001251E1"/>
    <w:rsid w:val="001F3067"/>
    <w:rsid w:val="002F60C3"/>
    <w:rsid w:val="003A15D0"/>
    <w:rsid w:val="003C3904"/>
    <w:rsid w:val="004E4263"/>
    <w:rsid w:val="004F563C"/>
    <w:rsid w:val="005161EF"/>
    <w:rsid w:val="00573600"/>
    <w:rsid w:val="00625DF4"/>
    <w:rsid w:val="006559EB"/>
    <w:rsid w:val="006E2D96"/>
    <w:rsid w:val="00743B94"/>
    <w:rsid w:val="00787FE8"/>
    <w:rsid w:val="007A5460"/>
    <w:rsid w:val="00910B0F"/>
    <w:rsid w:val="009313EE"/>
    <w:rsid w:val="00A05BE6"/>
    <w:rsid w:val="00AE0F9E"/>
    <w:rsid w:val="00BE6251"/>
    <w:rsid w:val="00C2363D"/>
    <w:rsid w:val="00C54CE1"/>
    <w:rsid w:val="00C67EEB"/>
    <w:rsid w:val="00C90775"/>
    <w:rsid w:val="00D922C6"/>
    <w:rsid w:val="00F16E56"/>
    <w:rsid w:val="00F7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FootnoteText">
    <w:name w:val="footnote text"/>
    <w:basedOn w:val="Normal"/>
    <w:semiHidden/>
    <w:rsid w:val="00AE0F9E"/>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rPr>
  </w:style>
  <w:style w:type="paragraph" w:customStyle="1" w:styleId="Sub-Header">
    <w:name w:val="Sub-Header"/>
    <w:basedOn w:val="Normal"/>
    <w:rsid w:val="006559EB"/>
    <w:pPr>
      <w:numPr>
        <w:numId w:val="11"/>
      </w:numPr>
    </w:pPr>
    <w:rPr>
      <w:b/>
      <w:smallCaps/>
      <w:sz w:val="24"/>
    </w:rPr>
  </w:style>
  <w:style w:type="paragraph" w:customStyle="1" w:styleId="CoverSubtitleDocumentName">
    <w:name w:val="Cover Subtitle (Document Name)"/>
    <w:basedOn w:val="Title"/>
    <w:rsid w:val="004E4263"/>
    <w:pPr>
      <w:spacing w:after="480"/>
    </w:pPr>
    <w:rPr>
      <w:rFonts w:ascii="Helvetica" w:hAnsi="Helvetica"/>
      <w:kern w:val="28"/>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FootnoteText">
    <w:name w:val="footnote text"/>
    <w:basedOn w:val="Normal"/>
    <w:semiHidden/>
    <w:rsid w:val="00AE0F9E"/>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rPr>
  </w:style>
  <w:style w:type="paragraph" w:customStyle="1" w:styleId="Sub-Header">
    <w:name w:val="Sub-Header"/>
    <w:basedOn w:val="Normal"/>
    <w:rsid w:val="006559EB"/>
    <w:pPr>
      <w:numPr>
        <w:numId w:val="11"/>
      </w:numPr>
    </w:pPr>
    <w:rPr>
      <w:b/>
      <w:smallCaps/>
      <w:sz w:val="24"/>
    </w:rPr>
  </w:style>
  <w:style w:type="paragraph" w:customStyle="1" w:styleId="CoverSubtitleDocumentName">
    <w:name w:val="Cover Subtitle (Document Name)"/>
    <w:basedOn w:val="Title"/>
    <w:rsid w:val="004E4263"/>
    <w:pPr>
      <w:spacing w:after="480"/>
    </w:pPr>
    <w:rPr>
      <w:rFonts w:ascii="Helvetica" w:hAnsi="Helvetica"/>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DC Completion Factors</vt:lpstr>
    </vt:vector>
  </TitlesOfParts>
  <Company>Department of Defense - Health Affairs</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 Completion Factors</dc:title>
  <dc:creator>A Preferred User</dc:creator>
  <dc:description>Status = Final</dc:description>
  <cp:lastModifiedBy>Kennedy, Brian, CIV, OASD(HA)/TMA</cp:lastModifiedBy>
  <cp:revision>3</cp:revision>
  <cp:lastPrinted>2000-09-06T18:26:00Z</cp:lastPrinted>
  <dcterms:created xsi:type="dcterms:W3CDTF">2012-10-02T18:44:00Z</dcterms:created>
  <dcterms:modified xsi:type="dcterms:W3CDTF">2012-10-04T15:28:00Z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1609958014</vt:i4>
  </property>
  <property fmtid="{D5CDD505-2E9C-101B-9397-08002B2CF9AE}" pid="3" name="_EmailSubject">
    <vt:lpwstr>more</vt:lpwstr>
  </property>
  <property fmtid="{D5CDD505-2E9C-101B-9397-08002B2CF9AE}" pid="4" name="_AuthorEmail">
    <vt:lpwstr>Reagan_Clyne@sra.com</vt:lpwstr>
  </property>
  <property fmtid="{D5CDD505-2E9C-101B-9397-08002B2CF9AE}" pid="5" name="_AuthorEmailDisplayName">
    <vt:lpwstr>Clyne, Reagan</vt:lpwstr>
  </property>
  <property fmtid="{D5CDD505-2E9C-101B-9397-08002B2CF9AE}" pid="6" name="_PreviousAdHocReviewCycleID">
    <vt:i4>1325618561</vt:i4>
  </property>
  <property fmtid="{D5CDD505-2E9C-101B-9397-08002B2CF9AE}" pid="7" name="_ReviewingToolsShownOnce">
    <vt:lpwstr/>
  </property>
</Properties>
</file>