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C2" w:rsidRDefault="000547C2" w:rsidP="000547C2">
      <w:pPr>
        <w:pStyle w:val="cvr1titleorg"/>
      </w:pPr>
      <w:r>
        <w:t>DHSS Program Management</w:t>
      </w:r>
    </w:p>
    <w:p w:rsidR="000547C2" w:rsidRDefault="000547C2" w:rsidP="00CA3CD1">
      <w:pPr>
        <w:pStyle w:val="left-border"/>
        <w:spacing w:line="1200" w:lineRule="auto"/>
      </w:pPr>
    </w:p>
    <w:p w:rsidR="000547C2" w:rsidRDefault="000547C2" w:rsidP="000547C2">
      <w:pPr>
        <w:pStyle w:val="left-border"/>
      </w:pPr>
    </w:p>
    <w:p w:rsidR="000547C2" w:rsidRDefault="000547C2" w:rsidP="000547C2">
      <w:pPr>
        <w:pStyle w:val="cvr1title"/>
      </w:pPr>
      <w:r>
        <w:t>Interface Control Document</w:t>
      </w:r>
      <w:r>
        <w:br/>
        <w:t xml:space="preserve">Describing the </w:t>
      </w:r>
      <w:r w:rsidR="00BB22EB">
        <w:t>Service Area File (SAF)</w:t>
      </w:r>
      <w:r w:rsidR="00AC0413">
        <w:t xml:space="preserve"> </w:t>
      </w:r>
      <w:r w:rsidR="00BB22EB">
        <w:t xml:space="preserve">Data </w:t>
      </w:r>
      <w:r>
        <w:t xml:space="preserve">Exchange to </w:t>
      </w:r>
      <w:r w:rsidR="00EF2F7B">
        <w:t>MDR</w:t>
      </w:r>
      <w:r>
        <w:br/>
      </w:r>
      <w:r w:rsidR="00BB22EB">
        <w:t>Baseline</w:t>
      </w:r>
      <w:r>
        <w:br/>
      </w:r>
      <w:r>
        <w:br/>
      </w:r>
    </w:p>
    <w:p w:rsidR="000547C2" w:rsidRDefault="00CA3CD1" w:rsidP="000547C2">
      <w:pPr>
        <w:pStyle w:val="cvr1version"/>
      </w:pPr>
      <w:r>
        <w:fldChar w:fldCharType="begin"/>
      </w:r>
      <w:r>
        <w:instrText xml:space="preserve"> DOCPROPERTY "IterationVers"  \* MERGEFORMAT </w:instrText>
      </w:r>
      <w:r>
        <w:fldChar w:fldCharType="separate"/>
      </w:r>
      <w:r w:rsidR="006D2931">
        <w:t>Approved</w:t>
      </w:r>
      <w:r>
        <w:fldChar w:fldCharType="end"/>
      </w:r>
      <w:r w:rsidR="000547C2">
        <w:t xml:space="preserve"> Version</w:t>
      </w:r>
      <w:r w:rsidR="000547C2">
        <w:br/>
      </w:r>
      <w:r w:rsidR="000547C2">
        <w:br/>
      </w:r>
      <w:r>
        <w:fldChar w:fldCharType="begin"/>
      </w:r>
      <w:r>
        <w:instrText xml:space="preserve"> DOCPROPERTY "DocDate"  \* MERGEFORMAT </w:instrText>
      </w:r>
      <w:r>
        <w:fldChar w:fldCharType="separate"/>
      </w:r>
      <w:r w:rsidR="006D2931">
        <w:t>May 25, 2010</w:t>
      </w:r>
      <w:r>
        <w:fldChar w:fldCharType="end"/>
      </w:r>
    </w:p>
    <w:p w:rsidR="000547C2" w:rsidRDefault="000547C2" w:rsidP="00CA3CD1">
      <w:pPr>
        <w:pStyle w:val="left-border"/>
        <w:spacing w:line="2400" w:lineRule="auto"/>
      </w:pPr>
    </w:p>
    <w:p w:rsidR="000547C2" w:rsidRDefault="000547C2" w:rsidP="00CA3CD1">
      <w:pPr>
        <w:pStyle w:val="left-border"/>
      </w:pPr>
    </w:p>
    <w:p w:rsidR="000547C2" w:rsidRDefault="002F279E" w:rsidP="000547C2">
      <w:pPr>
        <w:ind w:left="-990" w:right="4860"/>
        <w:jc w:val="center"/>
      </w:pPr>
      <w:r>
        <w:rPr>
          <w:noProof/>
        </w:rPr>
        <w:drawing>
          <wp:inline distT="0" distB="0" distL="0" distR="0" wp14:anchorId="45D929C6" wp14:editId="3724720A">
            <wp:extent cx="1362075" cy="642620"/>
            <wp:effectExtent l="0" t="0" r="9525" b="508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p>
    <w:p w:rsidR="000547C2" w:rsidRDefault="00CA3CD1" w:rsidP="000547C2">
      <w:pPr>
        <w:jc w:val="center"/>
      </w:pPr>
      <w:r>
        <w:rPr>
          <w:noProof/>
        </w:rPr>
        <mc:AlternateContent>
          <mc:Choice Requires="wps">
            <w:drawing>
              <wp:inline distT="0" distB="0" distL="0" distR="0" wp14:anchorId="6FC80481" wp14:editId="6761ADA4">
                <wp:extent cx="2560320" cy="640080"/>
                <wp:effectExtent l="0" t="0" r="0" b="7620"/>
                <wp:docPr id="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CD1" w:rsidRDefault="00CA3CD1" w:rsidP="00CA3CD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ChA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mW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BkAJ&#10;2tho9giCsBr4AmrhHYFJq+1XjHroyRq7LztiOUbyrQJRlVlRhCaOi2J6GeRgzy2bcwtRFKBq7DEa&#10;p0s/Nv7OWLFt4aZRxkrfgBAbETXyFNVBvtB3MZnDGxEa+3wdvZ5essUP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7/pXAoQC&#10;AAARBQAADgAAAAAAAAAAAAAAAAAuAgAAZHJzL2Uyb0RvYy54bWxQSwECLQAUAAYACAAAACEAWdVN&#10;hdoAAAAFAQAADwAAAAAAAAAAAAAAAADeBAAAZHJzL2Rvd25yZXYueG1sUEsFBgAAAAAEAAQA8wAA&#10;AOUFAAAAAA==&#10;" stroked="f">
                <v:textbox>
                  <w:txbxContent>
                    <w:p w:rsidR="00CA3CD1" w:rsidRDefault="00CA3CD1" w:rsidP="00CA3CD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0547C2" w:rsidRDefault="000547C2" w:rsidP="000547C2">
      <w:pPr>
        <w:jc w:val="center"/>
        <w:sectPr w:rsidR="000547C2" w:rsidSect="000547C2">
          <w:headerReference w:type="default" r:id="rId9"/>
          <w:footerReference w:type="even" r:id="rId10"/>
          <w:pgSz w:w="12240" w:h="15840" w:code="1"/>
          <w:pgMar w:top="1080" w:right="1800" w:bottom="1080" w:left="1800" w:header="720" w:footer="720" w:gutter="0"/>
          <w:pgNumType w:fmt="lowerRoman"/>
          <w:cols w:space="720"/>
        </w:sectPr>
      </w:pPr>
    </w:p>
    <w:p w:rsidR="00CA3CD1" w:rsidRDefault="00CA3CD1" w:rsidP="00CA3CD1">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BB22EB">
        <w:t>Service Area File (SAF) Data Exchange</w:t>
      </w:r>
      <w:r w:rsidR="00EF2F7B">
        <w:t xml:space="preserve"> </w:t>
      </w:r>
      <w:r w:rsidR="001D7AB9">
        <w:t>to</w:t>
      </w:r>
      <w:r w:rsidR="006E2918">
        <w:t xml:space="preserve"> </w:t>
      </w:r>
      <w:r w:rsidR="009A4FEF">
        <w:t>MDR</w:t>
      </w:r>
      <w:r>
        <w:br/>
      </w:r>
    </w:p>
    <w:p w:rsidR="00C7438C" w:rsidRDefault="00CA3CD1">
      <w:pPr>
        <w:pStyle w:val="pdt2"/>
      </w:pPr>
      <w:r>
        <w:fldChar w:fldCharType="begin"/>
      </w:r>
      <w:r>
        <w:instrText xml:space="preserve"> DOCPROPERTY "IterationVers"  \* MERGEFORMAT </w:instrText>
      </w:r>
      <w:r>
        <w:fldChar w:fldCharType="separate"/>
      </w:r>
      <w:r w:rsidR="000C598A">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0C598A">
        <w:t>May 25, 2010</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CA3CD1">
      <w:pPr>
        <w:pStyle w:val="mau"/>
      </w:pPr>
      <w:r>
        <w:t>M</w:t>
      </w:r>
      <w:r w:rsidR="00BB22EB">
        <w:t>s. Karen Hass</w:t>
      </w:r>
      <w:r w:rsidR="00C7438C">
        <w:tab/>
        <w:t>Date</w:t>
      </w:r>
      <w:r w:rsidR="00C7438C">
        <w:br/>
      </w:r>
      <w:r w:rsidR="004604B9">
        <w:t>Chair, Configuration Control Board (CCB</w:t>
      </w:r>
      <w:proofErr w:type="gramStart"/>
      <w:r w:rsidR="004604B9">
        <w:t>)</w:t>
      </w:r>
      <w:proofErr w:type="gramEnd"/>
      <w:r w:rsidR="00E743D9">
        <w:br/>
      </w:r>
      <w:r w:rsidR="009C2C38">
        <w:t>Defense Health Services Systems (DHSS)</w:t>
      </w:r>
      <w:r w:rsidR="00CA3CD1">
        <w:t xml:space="preserve"> </w:t>
      </w:r>
    </w:p>
    <w:p w:rsidR="00CA3CD1" w:rsidRDefault="00CA3CD1" w:rsidP="00CA3CD1">
      <w:pPr>
        <w:pStyle w:val="mau"/>
        <w:spacing w:line="4800" w:lineRule="auto"/>
      </w:pPr>
    </w:p>
    <w:p w:rsidR="00C7438C" w:rsidRDefault="002F279E">
      <w:pPr>
        <w:jc w:val="center"/>
      </w:pPr>
      <w:r>
        <w:rPr>
          <w:noProof/>
        </w:rPr>
        <mc:AlternateContent>
          <mc:Choice Requires="wps">
            <w:drawing>
              <wp:inline distT="0" distB="0" distL="0" distR="0" wp14:anchorId="54317497" wp14:editId="08529C98">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95D" w:rsidRDefault="00FB095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FB095D" w:rsidRDefault="00FB095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CA3CD1" w:rsidRDefault="00CA3CD1" w:rsidP="00CA3CD1">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BB22EB">
        <w:t>Service Area File (SAF) Data Exchange</w:t>
      </w:r>
      <w:r w:rsidR="00EF2F7B">
        <w:t xml:space="preserve"> </w:t>
      </w:r>
      <w:r w:rsidR="001D7AB9">
        <w:t>to</w:t>
      </w:r>
      <w:r w:rsidR="006E2918">
        <w:t xml:space="preserve"> </w:t>
      </w:r>
      <w:r w:rsidR="00EF2F7B">
        <w:t>MDR</w:t>
      </w:r>
      <w:r>
        <w:br/>
      </w:r>
    </w:p>
    <w:p w:rsidR="00C7438C" w:rsidRDefault="00CA3CD1">
      <w:pPr>
        <w:pStyle w:val="pdt2"/>
      </w:pPr>
      <w:r>
        <w:fldChar w:fldCharType="begin"/>
      </w:r>
      <w:r>
        <w:instrText xml:space="preserve"> DOCPROPERTY "IterationVers"  \* MERGEFORMAT </w:instrText>
      </w:r>
      <w:r>
        <w:fldChar w:fldCharType="separate"/>
      </w:r>
      <w:r w:rsidR="000C598A">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0C598A">
        <w:t>May 25, 2010</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9C2C38">
        <w:t>Senior Lead</w:t>
      </w:r>
      <w:r w:rsidR="00A45A20">
        <w:t xml:space="preserve"> Engineer</w:t>
      </w:r>
      <w:r>
        <w:br/>
      </w:r>
      <w:r w:rsidR="000547C2">
        <w:t>DHSS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w:t>
      </w:r>
      <w:smartTag w:uri="urn:schemas-microsoft-com:office:smarttags" w:element="PersonName">
        <w:r w:rsidR="00145189">
          <w:t>Martin Shepherd</w:t>
        </w:r>
      </w:smartTag>
      <w:r>
        <w:tab/>
        <w:t>Date</w:t>
      </w:r>
      <w:r>
        <w:br/>
      </w:r>
      <w:r w:rsidR="00145189">
        <w:t>MDR Data</w:t>
      </w:r>
      <w:r w:rsidR="00B019C4">
        <w:t xml:space="preserve"> Operations</w:t>
      </w:r>
      <w:r>
        <w:br/>
      </w:r>
      <w:r w:rsidR="000547C2">
        <w:t>DHSS</w:t>
      </w:r>
      <w:r>
        <w:t xml:space="preserve"> Program Office</w:t>
      </w:r>
    </w:p>
    <w:p w:rsidR="004D6203" w:rsidRDefault="004D6203" w:rsidP="004D6203">
      <w:pPr>
        <w:pStyle w:val="aff"/>
      </w:pPr>
      <w:r>
        <w:t>Reviewed by:</w:t>
      </w:r>
    </w:p>
    <w:p w:rsidR="004D6203" w:rsidRDefault="004D6203">
      <w:pPr>
        <w:pStyle w:val="mau"/>
      </w:pPr>
      <w:r>
        <w:t xml:space="preserve">Mr. </w:t>
      </w:r>
      <w:r w:rsidR="00BB22EB">
        <w:t>Imran Shah</w:t>
      </w:r>
      <w:r>
        <w:tab/>
        <w:t>Date</w:t>
      </w:r>
      <w:r>
        <w:br/>
        <w:t>Security Engineering</w:t>
      </w:r>
      <w:r>
        <w:br/>
        <w:t>DHSS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9C2C38">
        <w:t>Narinder Saund</w:t>
      </w:r>
      <w:r>
        <w:tab/>
        <w:t>Date</w:t>
      </w:r>
      <w:r>
        <w:br/>
      </w:r>
      <w:r w:rsidR="00A45A20">
        <w:t xml:space="preserve">Director, </w:t>
      </w:r>
      <w:r w:rsidR="009C2C38">
        <w:t>Engineering Solutions</w:t>
      </w:r>
      <w:r>
        <w:br/>
      </w:r>
      <w:r w:rsidR="000547C2">
        <w:t>DHSS</w:t>
      </w:r>
      <w:r>
        <w:t xml:space="preserve"> </w:t>
      </w:r>
      <w:r w:rsidR="002A19AE">
        <w:t>Program Office</w:t>
      </w:r>
    </w:p>
    <w:p w:rsidR="00CA3CD1" w:rsidRDefault="00CA3CD1">
      <w:pPr>
        <w:pStyle w:val="mau"/>
      </w:pPr>
    </w:p>
    <w:p w:rsidR="00C7438C" w:rsidRDefault="002F279E">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95D" w:rsidRDefault="00FB095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FB095D" w:rsidRDefault="00FB095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CA3CD1" w:rsidRDefault="00CA3CD1" w:rsidP="00CA3CD1">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Pr="00EA7B80" w:rsidRDefault="009A4FEF" w:rsidP="00EA7B80">
      <w:pPr>
        <w:pStyle w:val="p"/>
      </w:pPr>
      <w:r>
        <w:t xml:space="preserve">This document describes the interface that provides the </w:t>
      </w:r>
      <w:r w:rsidR="00BB22EB">
        <w:t>Service Area File (SAF) to the Military Health System (MHS) Data Repository (</w:t>
      </w:r>
      <w:smartTag w:uri="urn:schemas-microsoft-com:office:smarttags" w:element="stockticker">
        <w:r w:rsidR="00BB22EB">
          <w:t>MDR</w:t>
        </w:r>
      </w:smartTag>
      <w:r w:rsidR="00BB22EB">
        <w:t>). MDR is managed by the Defense Health Services Systems (DHSS) Program Office.</w:t>
      </w:r>
      <w:r>
        <w:t xml:space="preserve">  The </w:t>
      </w:r>
      <w:r w:rsidR="00BB22EB">
        <w:t xml:space="preserve">SAF </w:t>
      </w:r>
      <w:r>
        <w:t xml:space="preserve">files are </w:t>
      </w:r>
      <w:r w:rsidR="00BB22EB">
        <w:t xml:space="preserve">developed by and sent from Altarum, a contractor working for </w:t>
      </w:r>
      <w:r w:rsidR="00BC2BBE">
        <w:t xml:space="preserve">Health Programs Analysis and </w:t>
      </w:r>
      <w:proofErr w:type="spellStart"/>
      <w:r w:rsidR="00BC2BBE">
        <w:t>Evalution</w:t>
      </w:r>
      <w:proofErr w:type="spellEnd"/>
      <w:r w:rsidR="00BC2BBE">
        <w:t xml:space="preserve"> (HPA&amp;E) </w:t>
      </w:r>
      <w:r w:rsidR="00BB22EB">
        <w:t>division.</w:t>
      </w:r>
      <w:r>
        <w:t xml:space="preserve"> </w:t>
      </w:r>
    </w:p>
    <w:p w:rsidR="00C7438C" w:rsidRDefault="00C7438C">
      <w:pPr>
        <w:pStyle w:val="p"/>
      </w:pPr>
      <w:r>
        <w:t xml:space="preserve">This document is under </w:t>
      </w:r>
      <w:r w:rsidR="000547C2">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0547C2">
      <w:pPr>
        <w:pStyle w:val="addressindented"/>
      </w:pPr>
      <w:r>
        <w:t>DHSS</w:t>
      </w:r>
      <w:r w:rsidR="00C7438C">
        <w:t xml:space="preserve"> Program Office </w:t>
      </w:r>
      <w:r w:rsidR="00C7438C">
        <w:br/>
        <w:t>5</w:t>
      </w:r>
      <w:r w:rsidR="001D203C">
        <w:t>203</w:t>
      </w:r>
      <w:r w:rsidR="00C7438C">
        <w:t xml:space="preserve"> Leesburg Pike, </w:t>
      </w:r>
      <w:smartTag w:uri="urn:schemas-microsoft-com:office:smarttags" w:element="address">
        <w:smartTag w:uri="urn:schemas-microsoft-com:office:smarttags" w:element="Street">
          <w:r w:rsidR="00C7438C">
            <w:t>Suite</w:t>
          </w:r>
        </w:smartTag>
        <w:r w:rsidR="00C7438C">
          <w:t xml:space="preserve"> </w:t>
        </w:r>
        <w:r w:rsidR="001D203C">
          <w:t>1500</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CA3CD1" w:rsidRDefault="00CA3CD1" w:rsidP="00CA3CD1">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B32CC1" w:rsidRDefault="00B32CC1" w:rsidP="00B32CC1">
      <w:pPr>
        <w:pStyle w:val="p"/>
      </w:pPr>
      <w:r w:rsidRPr="00F77C81">
        <w:t xml:space="preserve">The </w:t>
      </w:r>
      <w:r w:rsidR="00EA7B80" w:rsidRPr="00F77C81">
        <w:t>Defense Health S</w:t>
      </w:r>
      <w:r w:rsidR="00A6378D">
        <w:t>ervices</w:t>
      </w:r>
      <w:r w:rsidR="00EA7B80" w:rsidRPr="00F77C81">
        <w:t xml:space="preserve"> Systems (DHSS) Progra</w:t>
      </w:r>
      <w:r w:rsidRPr="00F77C81">
        <w:t>m Office manages</w:t>
      </w:r>
      <w:r w:rsidR="00EA7B80" w:rsidRPr="00F77C81">
        <w:t xml:space="preserve"> a number of </w:t>
      </w:r>
      <w:r w:rsidR="00F77C81" w:rsidRPr="00F77C81">
        <w:t>information technology systems including</w:t>
      </w:r>
      <w:r w:rsidRPr="00F77C81">
        <w:t xml:space="preserve"> the </w:t>
      </w:r>
      <w:r w:rsidR="00641900">
        <w:t>Military Health System (MHS) Data Repository (MDR)</w:t>
      </w:r>
      <w:r w:rsidR="00EA7B80" w:rsidRPr="00F77C81">
        <w:t xml:space="preserve">. </w:t>
      </w:r>
      <w:r w:rsidRPr="00F77C81">
        <w:t xml:space="preserve"> This document is the Interface Control Document (ICD) that specifies the </w:t>
      </w:r>
      <w:r w:rsidR="00BB22EB">
        <w:t>Service Area File (SAF)</w:t>
      </w:r>
      <w:r w:rsidR="00641900">
        <w:t xml:space="preserve"> data extracts provided to MDR</w:t>
      </w:r>
      <w:r w:rsidR="004A101B">
        <w:t xml:space="preserve">. </w:t>
      </w:r>
      <w:r w:rsidR="00F77C81">
        <w:t xml:space="preserve"> </w:t>
      </w:r>
      <w:r w:rsidRPr="00F77C81">
        <w:t>Information and meta data regarding</w:t>
      </w:r>
      <w:r>
        <w:t xml:space="preserve"> the data </w:t>
      </w:r>
      <w:r w:rsidR="00C60728">
        <w:t xml:space="preserve">feed are detailed in this ICD. </w:t>
      </w:r>
    </w:p>
    <w:p w:rsidR="00C7438C" w:rsidRDefault="00C7438C">
      <w:pPr>
        <w:pStyle w:val="kwd"/>
      </w:pPr>
      <w:r>
        <w:rPr>
          <w:b/>
        </w:rPr>
        <w:t>Keywords:</w:t>
      </w:r>
      <w:r>
        <w:t xml:space="preserve"> </w:t>
      </w:r>
      <w:r w:rsidR="00F77C81">
        <w:t>Defense Health Support Systems</w:t>
      </w:r>
      <w:r w:rsidR="00C60728">
        <w:t xml:space="preserve">, </w:t>
      </w:r>
      <w:r>
        <w:t>Decision Support, Executive Information, Interface Control Document,</w:t>
      </w:r>
      <w:r w:rsidR="00F77C81">
        <w:t xml:space="preserve"> </w:t>
      </w:r>
      <w:r w:rsidR="00641900">
        <w:t xml:space="preserve">MHS Data Repository, </w:t>
      </w:r>
      <w:r w:rsidR="00545F64">
        <w:t xml:space="preserve">Service Area File, </w:t>
      </w:r>
      <w:r w:rsidR="00F77C81">
        <w:t xml:space="preserve">DHSS, </w:t>
      </w:r>
      <w:r w:rsidR="00611042">
        <w:t>DS, EI,</w:t>
      </w:r>
      <w:r w:rsidR="00C60728">
        <w:t xml:space="preserve"> ICD, </w:t>
      </w:r>
      <w:r w:rsidR="009A4FEF">
        <w:t>MDR</w:t>
      </w:r>
      <w:r w:rsidR="00545F64">
        <w:t>, SAF</w:t>
      </w:r>
    </w:p>
    <w:p w:rsidR="00C7438C" w:rsidRDefault="00C7438C">
      <w:pPr>
        <w:jc w:val="center"/>
      </w:pPr>
      <w:r>
        <w:br w:type="page"/>
      </w:r>
    </w:p>
    <w:p w:rsidR="00CA3CD1" w:rsidRDefault="00CA3CD1" w:rsidP="00CA3CD1">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545F64">
            <w:pPr>
              <w:spacing w:before="60"/>
              <w:jc w:val="center"/>
            </w:pPr>
            <w:r>
              <w:t xml:space="preserve">May </w:t>
            </w:r>
            <w:r w:rsidR="000C598A">
              <w:t>25</w:t>
            </w:r>
            <w:r>
              <w:t>, 2010</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CA3CD1" w:rsidRDefault="00CA3CD1" w:rsidP="00CA3CD1">
      <w:pPr>
        <w:spacing w:line="4800" w:lineRule="auto"/>
        <w:jc w:val="center"/>
        <w:outlineLvl w:val="0"/>
      </w:pPr>
      <w:bookmarkStart w:id="9" w:name="_GoBack"/>
      <w:bookmarkEnd w:id="9"/>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0" w:name="_Toc445542363"/>
      <w:r w:rsidRPr="001D203C">
        <w:rPr>
          <w:lang w:val="fr-FR"/>
        </w:rPr>
        <w:lastRenderedPageBreak/>
        <w:t>Contents</w:t>
      </w:r>
      <w:bookmarkEnd w:id="10"/>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8F3E35" w:rsidRDefault="00C7438C">
      <w:pPr>
        <w:pStyle w:val="TOC1"/>
        <w:rPr>
          <w:rFonts w:ascii="Times New Roman" w:hAnsi="Times New Roman"/>
          <w:b w:val="0"/>
          <w:sz w:val="24"/>
          <w:szCs w:val="24"/>
        </w:rPr>
      </w:pPr>
      <w:r>
        <w:rPr>
          <w:b w:val="0"/>
        </w:rPr>
        <w:fldChar w:fldCharType="begin"/>
      </w:r>
      <w:r w:rsidRPr="001D203C">
        <w:rPr>
          <w:b w:val="0"/>
          <w:lang w:val="fr-FR"/>
        </w:rPr>
        <w:instrText xml:space="preserve"> TOC \o "2-3" \t "Heading 1,1" </w:instrText>
      </w:r>
      <w:r>
        <w:rPr>
          <w:b w:val="0"/>
        </w:rPr>
        <w:fldChar w:fldCharType="separate"/>
      </w:r>
      <w:r w:rsidR="008F3E35">
        <w:t>Section 1: Introduction</w:t>
      </w:r>
      <w:r w:rsidR="008F3E35">
        <w:tab/>
      </w:r>
      <w:r w:rsidR="008F3E35">
        <w:fldChar w:fldCharType="begin"/>
      </w:r>
      <w:r w:rsidR="008F3E35">
        <w:instrText xml:space="preserve"> PAGEREF _Toc260898161 \h </w:instrText>
      </w:r>
      <w:r w:rsidR="008F3E35">
        <w:fldChar w:fldCharType="separate"/>
      </w:r>
      <w:r w:rsidR="0035327E">
        <w:t>1-1</w:t>
      </w:r>
      <w:r w:rsidR="008F3E35">
        <w:fldChar w:fldCharType="end"/>
      </w:r>
    </w:p>
    <w:p w:rsidR="008F3E35" w:rsidRDefault="008F3E35">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_Toc260898162 \h </w:instrText>
      </w:r>
      <w:r>
        <w:fldChar w:fldCharType="separate"/>
      </w:r>
      <w:r w:rsidR="0035327E">
        <w:t>1-1</w:t>
      </w:r>
      <w:r>
        <w:fldChar w:fldCharType="end"/>
      </w:r>
    </w:p>
    <w:p w:rsidR="008F3E35" w:rsidRDefault="008F3E35">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_Toc260898163 \h </w:instrText>
      </w:r>
      <w:r>
        <w:fldChar w:fldCharType="separate"/>
      </w:r>
      <w:r w:rsidR="0035327E">
        <w:t>1-1</w:t>
      </w:r>
      <w:r>
        <w:fldChar w:fldCharType="end"/>
      </w:r>
    </w:p>
    <w:p w:rsidR="008F3E35" w:rsidRDefault="008F3E35">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_Toc260898164 \h </w:instrText>
      </w:r>
      <w:r>
        <w:fldChar w:fldCharType="separate"/>
      </w:r>
      <w:r w:rsidR="0035327E">
        <w:t>1-1</w:t>
      </w:r>
      <w:r>
        <w:fldChar w:fldCharType="end"/>
      </w:r>
    </w:p>
    <w:p w:rsidR="008F3E35" w:rsidRDefault="008F3E35">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_Toc260898165 \h </w:instrText>
      </w:r>
      <w:r>
        <w:fldChar w:fldCharType="separate"/>
      </w:r>
      <w:r w:rsidR="0035327E">
        <w:t>1-1</w:t>
      </w:r>
      <w:r>
        <w:fldChar w:fldCharType="end"/>
      </w:r>
    </w:p>
    <w:p w:rsidR="008F3E35" w:rsidRDefault="008F3E35">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_Toc260898166 \h </w:instrText>
      </w:r>
      <w:r>
        <w:fldChar w:fldCharType="separate"/>
      </w:r>
      <w:r w:rsidR="0035327E">
        <w:t>1-1</w:t>
      </w:r>
      <w:r>
        <w:fldChar w:fldCharType="end"/>
      </w:r>
    </w:p>
    <w:p w:rsidR="008F3E35" w:rsidRDefault="008F3E35">
      <w:pPr>
        <w:pStyle w:val="TOC1"/>
        <w:rPr>
          <w:rFonts w:ascii="Times New Roman" w:hAnsi="Times New Roman"/>
          <w:b w:val="0"/>
          <w:sz w:val="24"/>
          <w:szCs w:val="24"/>
        </w:rPr>
      </w:pPr>
      <w:r>
        <w:t>Section 2: Data Specification</w:t>
      </w:r>
      <w:r>
        <w:tab/>
      </w:r>
      <w:r>
        <w:fldChar w:fldCharType="begin"/>
      </w:r>
      <w:r>
        <w:instrText xml:space="preserve"> PAGEREF _Toc260898167 \h </w:instrText>
      </w:r>
      <w:r>
        <w:fldChar w:fldCharType="separate"/>
      </w:r>
      <w:r w:rsidR="0035327E">
        <w:t>2-1</w:t>
      </w:r>
      <w:r>
        <w:fldChar w:fldCharType="end"/>
      </w:r>
    </w:p>
    <w:p w:rsidR="008F3E35" w:rsidRDefault="008F3E35">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_Toc260898168 \h </w:instrText>
      </w:r>
      <w:r>
        <w:fldChar w:fldCharType="separate"/>
      </w:r>
      <w:r w:rsidR="0035327E">
        <w:t>2-1</w:t>
      </w:r>
      <w:r>
        <w:fldChar w:fldCharType="end"/>
      </w:r>
    </w:p>
    <w:p w:rsidR="008F3E35" w:rsidRDefault="008F3E35">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_Toc260898169 \h </w:instrText>
      </w:r>
      <w:r>
        <w:fldChar w:fldCharType="separate"/>
      </w:r>
      <w:r w:rsidR="0035327E">
        <w:t>2-1</w:t>
      </w:r>
      <w:r>
        <w:fldChar w:fldCharType="end"/>
      </w:r>
    </w:p>
    <w:p w:rsidR="008F3E35" w:rsidRDefault="008F3E35">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_Toc260898170 \h </w:instrText>
      </w:r>
      <w:r>
        <w:fldChar w:fldCharType="separate"/>
      </w:r>
      <w:r w:rsidR="0035327E">
        <w:t>2-1</w:t>
      </w:r>
      <w:r>
        <w:fldChar w:fldCharType="end"/>
      </w:r>
    </w:p>
    <w:p w:rsidR="008F3E35" w:rsidRDefault="008F3E35">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_Toc260898171 \h </w:instrText>
      </w:r>
      <w:r>
        <w:fldChar w:fldCharType="separate"/>
      </w:r>
      <w:r w:rsidR="0035327E">
        <w:t>2-1</w:t>
      </w:r>
      <w:r>
        <w:fldChar w:fldCharType="end"/>
      </w:r>
    </w:p>
    <w:p w:rsidR="008F3E35" w:rsidRDefault="008F3E35">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_Toc260898172 \h </w:instrText>
      </w:r>
      <w:r>
        <w:fldChar w:fldCharType="separate"/>
      </w:r>
      <w:r w:rsidR="0035327E">
        <w:t>2-1</w:t>
      </w:r>
      <w:r>
        <w:fldChar w:fldCharType="end"/>
      </w:r>
    </w:p>
    <w:p w:rsidR="008F3E35" w:rsidRDefault="008F3E35">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_Toc260898173 \h </w:instrText>
      </w:r>
      <w:r>
        <w:fldChar w:fldCharType="separate"/>
      </w:r>
      <w:r w:rsidR="0035327E">
        <w:t>2-2</w:t>
      </w:r>
      <w:r>
        <w:fldChar w:fldCharType="end"/>
      </w:r>
    </w:p>
    <w:p w:rsidR="00C7438C" w:rsidRDefault="00C7438C">
      <w:pPr>
        <w:rPr>
          <w:noProof/>
          <w:sz w:val="28"/>
        </w:rPr>
      </w:pPr>
      <w:r>
        <w:rPr>
          <w:b/>
          <w:noProof/>
          <w:sz w:val="28"/>
        </w:rPr>
        <w:fldChar w:fldCharType="end"/>
      </w:r>
    </w:p>
    <w:p w:rsidR="008F3E35" w:rsidRDefault="00C7438C">
      <w:pPr>
        <w:pStyle w:val="TOC7"/>
        <w:rPr>
          <w:rFonts w:ascii="Times New Roman" w:hAnsi="Times New Roman"/>
          <w:b w:val="0"/>
          <w:noProof/>
          <w:szCs w:val="24"/>
        </w:rPr>
      </w:pPr>
      <w:r>
        <w:fldChar w:fldCharType="begin"/>
      </w:r>
      <w:r>
        <w:instrText xml:space="preserve"> TOC \o "7-9"</w:instrText>
      </w:r>
      <w:r>
        <w:fldChar w:fldCharType="separate"/>
      </w:r>
      <w:r w:rsidR="008F3E35">
        <w:rPr>
          <w:noProof/>
        </w:rPr>
        <w:t>Appendix A: SAF File Extract</w:t>
      </w:r>
      <w:r w:rsidR="008F3E35">
        <w:rPr>
          <w:noProof/>
        </w:rPr>
        <w:tab/>
      </w:r>
      <w:r w:rsidR="008F3E35">
        <w:rPr>
          <w:noProof/>
        </w:rPr>
        <w:fldChar w:fldCharType="begin"/>
      </w:r>
      <w:r w:rsidR="008F3E35">
        <w:rPr>
          <w:noProof/>
        </w:rPr>
        <w:instrText xml:space="preserve"> PAGEREF _Toc260898174 \h </w:instrText>
      </w:r>
      <w:r w:rsidR="008F3E35">
        <w:rPr>
          <w:noProof/>
        </w:rPr>
      </w:r>
      <w:r w:rsidR="008F3E35">
        <w:rPr>
          <w:noProof/>
        </w:rPr>
        <w:fldChar w:fldCharType="separate"/>
      </w:r>
      <w:r w:rsidR="0035327E">
        <w:rPr>
          <w:noProof/>
        </w:rPr>
        <w:t>A-1</w:t>
      </w:r>
      <w:r w:rsidR="008F3E35">
        <w:rPr>
          <w:noProof/>
        </w:rPr>
        <w:fldChar w:fldCharType="end"/>
      </w:r>
    </w:p>
    <w:p w:rsidR="008F3E35" w:rsidRDefault="008F3E35">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_Toc260898175 \h </w:instrText>
      </w:r>
      <w:r>
        <w:rPr>
          <w:noProof/>
        </w:rPr>
      </w:r>
      <w:r>
        <w:rPr>
          <w:noProof/>
        </w:rPr>
        <w:fldChar w:fldCharType="separate"/>
      </w:r>
      <w:r w:rsidR="0035327E">
        <w:rPr>
          <w:noProof/>
        </w:rPr>
        <w:t>A-1</w:t>
      </w:r>
      <w:r>
        <w:rPr>
          <w:noProof/>
        </w:rPr>
        <w:fldChar w:fldCharType="end"/>
      </w:r>
    </w:p>
    <w:p w:rsidR="008F3E35" w:rsidRDefault="008F3E35">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_Toc260898176 \h </w:instrText>
      </w:r>
      <w:r>
        <w:rPr>
          <w:noProof/>
        </w:rPr>
      </w:r>
      <w:r>
        <w:rPr>
          <w:noProof/>
        </w:rPr>
        <w:fldChar w:fldCharType="separate"/>
      </w:r>
      <w:r w:rsidR="0035327E">
        <w:rPr>
          <w:noProof/>
        </w:rPr>
        <w:t>A-1</w:t>
      </w:r>
      <w:r>
        <w:rPr>
          <w:noProof/>
        </w:rPr>
        <w:fldChar w:fldCharType="end"/>
      </w:r>
    </w:p>
    <w:p w:rsidR="008F3E35" w:rsidRDefault="008F3E35">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_Toc260898177 \h </w:instrText>
      </w:r>
      <w:r>
        <w:rPr>
          <w:noProof/>
        </w:rPr>
      </w:r>
      <w:r>
        <w:rPr>
          <w:noProof/>
        </w:rPr>
        <w:fldChar w:fldCharType="separate"/>
      </w:r>
      <w:r w:rsidR="0035327E">
        <w:rPr>
          <w:noProof/>
        </w:rPr>
        <w:t>A-1</w:t>
      </w:r>
      <w:r>
        <w:rPr>
          <w:noProof/>
        </w:rPr>
        <w:fldChar w:fldCharType="end"/>
      </w:r>
    </w:p>
    <w:p w:rsidR="008F3E35" w:rsidRDefault="008F3E35">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_Toc260898178 \h </w:instrText>
      </w:r>
      <w:r>
        <w:rPr>
          <w:noProof/>
        </w:rPr>
      </w:r>
      <w:r>
        <w:rPr>
          <w:noProof/>
        </w:rPr>
        <w:fldChar w:fldCharType="separate"/>
      </w:r>
      <w:r w:rsidR="0035327E">
        <w:rPr>
          <w:noProof/>
        </w:rPr>
        <w:t>B-1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8F3E35"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8F3E35">
        <w:rPr>
          <w:noProof/>
        </w:rPr>
        <w:t>Table A</w:t>
      </w:r>
      <w:r w:rsidR="008F3E35">
        <w:rPr>
          <w:noProof/>
        </w:rPr>
        <w:noBreakHyphen/>
        <w:t>1 SAF Record Data Elements</w:t>
      </w:r>
      <w:r w:rsidR="008F3E35">
        <w:rPr>
          <w:noProof/>
        </w:rPr>
        <w:tab/>
      </w:r>
      <w:r w:rsidR="008F3E35">
        <w:rPr>
          <w:noProof/>
        </w:rPr>
        <w:fldChar w:fldCharType="begin"/>
      </w:r>
      <w:r w:rsidR="008F3E35">
        <w:rPr>
          <w:noProof/>
        </w:rPr>
        <w:instrText xml:space="preserve"> PAGEREF _Toc260898179 \h </w:instrText>
      </w:r>
      <w:r w:rsidR="008F3E35">
        <w:rPr>
          <w:noProof/>
        </w:rPr>
      </w:r>
      <w:r w:rsidR="008F3E35">
        <w:rPr>
          <w:noProof/>
        </w:rPr>
        <w:fldChar w:fldCharType="separate"/>
      </w:r>
      <w:r w:rsidR="0035327E">
        <w:rPr>
          <w:noProof/>
        </w:rPr>
        <w:t>A-2</w:t>
      </w:r>
      <w:r w:rsidR="008F3E35">
        <w:rPr>
          <w:noProof/>
        </w:rPr>
        <w:fldChar w:fldCharType="end"/>
      </w:r>
    </w:p>
    <w:p w:rsidR="00843D33" w:rsidRDefault="00C7438C" w:rsidP="00CA3CD1">
      <w:r>
        <w:fldChar w:fldCharType="end"/>
      </w:r>
    </w:p>
    <w:p w:rsidR="00475C0F" w:rsidRDefault="00843D33" w:rsidP="00843D33">
      <w:pPr>
        <w:jc w:val="center"/>
        <w:sectPr w:rsidR="00475C0F" w:rsidSect="00475C0F">
          <w:footerReference w:type="even" r:id="rId14"/>
          <w:footerReference w:type="default" r:id="rId15"/>
          <w:type w:val="oddPage"/>
          <w:pgSz w:w="12240" w:h="15840" w:code="1"/>
          <w:pgMar w:top="1440" w:right="1800" w:bottom="1080" w:left="1800" w:header="720" w:footer="720" w:gutter="0"/>
          <w:pgNumType w:fmt="lowerRoman"/>
          <w:cols w:space="720"/>
        </w:sectPr>
      </w:pPr>
      <w:r>
        <w:t>This page intentionally left blank.</w:t>
      </w:r>
    </w:p>
    <w:p w:rsidR="00475C0F" w:rsidRDefault="00475C0F" w:rsidP="00475C0F"/>
    <w:p w:rsidR="00C7438C" w:rsidRDefault="00C7438C">
      <w:pPr>
        <w:jc w:val="center"/>
      </w:pP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260898161"/>
      <w:r>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260898162"/>
      <w:r>
        <w:t>Document Identification</w:t>
      </w:r>
      <w:bookmarkEnd w:id="20"/>
      <w:bookmarkEnd w:id="21"/>
      <w:bookmarkEnd w:id="22"/>
      <w:bookmarkEnd w:id="23"/>
    </w:p>
    <w:p w:rsidR="00C7438C" w:rsidRDefault="009A4FEF">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provides the </w:t>
      </w:r>
      <w:r w:rsidR="008F3E35">
        <w:t xml:space="preserve">Service Area File (SAF).  SAF is used as a reference file to process various medical claims such as </w:t>
      </w:r>
      <w:r>
        <w:t xml:space="preserve">Active Duty Dental Program (ADDP) </w:t>
      </w:r>
      <w:r w:rsidR="008F3E35">
        <w:t>claims.</w:t>
      </w:r>
      <w:r>
        <w:t xml:space="preserve"> </w:t>
      </w:r>
      <w:r w:rsidR="00B07226">
        <w:t xml:space="preserve"> </w:t>
      </w:r>
    </w:p>
    <w:p w:rsidR="00C7438C" w:rsidRDefault="00C7438C">
      <w:pPr>
        <w:pStyle w:val="Heading2"/>
      </w:pPr>
      <w:bookmarkStart w:id="33" w:name="_Toc442077147"/>
      <w:bookmarkStart w:id="34" w:name="_Toc260898163"/>
      <w:r>
        <w:t>Scope</w:t>
      </w:r>
      <w:bookmarkEnd w:id="24"/>
      <w:bookmarkEnd w:id="25"/>
      <w:bookmarkEnd w:id="26"/>
      <w:bookmarkEnd w:id="27"/>
      <w:bookmarkEnd w:id="28"/>
      <w:bookmarkEnd w:id="29"/>
      <w:bookmarkEnd w:id="30"/>
      <w:bookmarkEnd w:id="31"/>
      <w:bookmarkEnd w:id="32"/>
      <w:bookmarkEnd w:id="33"/>
      <w:bookmarkEnd w:id="34"/>
    </w:p>
    <w:p w:rsidR="00C7438C" w:rsidRDefault="009A4FEF">
      <w:pPr>
        <w:pStyle w:val="p"/>
      </w:pPr>
      <w:r>
        <w:rPr>
          <w:rFonts w:cs="Arial"/>
        </w:rPr>
        <w:t>This document describes the fi</w:t>
      </w:r>
      <w:r w:rsidR="008F3E35">
        <w:rPr>
          <w:rFonts w:cs="Arial"/>
        </w:rPr>
        <w:t>le parameters and record layout</w:t>
      </w:r>
      <w:r>
        <w:rPr>
          <w:rFonts w:cs="Arial"/>
        </w:rPr>
        <w:t xml:space="preserve"> for the </w:t>
      </w:r>
      <w:r w:rsidR="008F3E35">
        <w:rPr>
          <w:rFonts w:cs="Arial"/>
        </w:rPr>
        <w:t xml:space="preserve">SAF that </w:t>
      </w:r>
      <w:r>
        <w:rPr>
          <w:rFonts w:cs="Arial"/>
        </w:rPr>
        <w:t xml:space="preserve">the DHSS Program Office receives from </w:t>
      </w:r>
      <w:r w:rsidR="008F3E35">
        <w:rPr>
          <w:rFonts w:cs="Arial"/>
        </w:rPr>
        <w:t>Altarum</w:t>
      </w:r>
      <w:r>
        <w:t xml:space="preserve">, the contractor responsible for </w:t>
      </w:r>
      <w:r w:rsidR="008F3E35">
        <w:t>developing the SAF</w:t>
      </w:r>
      <w:r>
        <w:t xml:space="preserve">.  </w:t>
      </w:r>
      <w:r w:rsidR="008F3E35">
        <w:t>Altarum is under contract to Health Programs Analysis and Evaluation (HPA&amp;E) to do this work.</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260898164"/>
      <w:r>
        <w:t>System Overview</w:t>
      </w:r>
      <w:bookmarkEnd w:id="35"/>
      <w:bookmarkEnd w:id="36"/>
      <w:bookmarkEnd w:id="37"/>
      <w:bookmarkEnd w:id="38"/>
      <w:bookmarkEnd w:id="39"/>
      <w:bookmarkEnd w:id="40"/>
      <w:bookmarkEnd w:id="41"/>
      <w:bookmarkEnd w:id="42"/>
      <w:bookmarkEnd w:id="43"/>
    </w:p>
    <w:p w:rsidR="009A4FEF" w:rsidRPr="009A4FEF" w:rsidRDefault="009A4FEF" w:rsidP="009A4FEF">
      <w:pPr>
        <w:pStyle w:val="p"/>
      </w:pPr>
      <w:r w:rsidRPr="009A4FEF">
        <w:t xml:space="preserve">The </w:t>
      </w:r>
      <w:r w:rsidR="008F3E35">
        <w:t xml:space="preserve">SAF is a set of records that identifies health programs that are available and eligible for specific areas within the </w:t>
      </w:r>
      <w:smartTag w:uri="urn:schemas-microsoft-com:office:smarttags" w:element="country-region">
        <w:smartTag w:uri="urn:schemas-microsoft-com:office:smarttags" w:element="place">
          <w:r w:rsidR="008F3E35">
            <w:t>United States</w:t>
          </w:r>
        </w:smartTag>
      </w:smartTag>
      <w:r w:rsidR="008F3E35">
        <w:t xml:space="preserve"> by ZIP Code.  The SAF is currently received by email to DHSS Operations</w:t>
      </w:r>
      <w:r w:rsidR="006A0AD6">
        <w:t>.  DHSS Operations scans the file and then uploads the file into the Military Health System (MHS) Data Repository (MDR).</w:t>
      </w:r>
    </w:p>
    <w:p w:rsidR="00A42626" w:rsidRPr="009A4FEF" w:rsidRDefault="009A4FEF" w:rsidP="009A4FEF">
      <w:pPr>
        <w:pStyle w:val="p"/>
      </w:pPr>
      <w:r w:rsidRPr="009A4FEF">
        <w:t xml:space="preserve">The main host of the MDR is an </w:t>
      </w:r>
      <w:smartTag w:uri="urn:schemas-microsoft-com:office:smarttags" w:element="stockticker">
        <w:r w:rsidRPr="009A4FEF">
          <w:t>IBM</w:t>
        </w:r>
      </w:smartTag>
      <w:r w:rsidRPr="009A4FEF">
        <w:t xml:space="preserve"> RS/6000SP multi-node computing platform located at the Defense Enterprise Computing Center</w:t>
      </w:r>
      <w:r w:rsidR="00BC2BBE">
        <w:t xml:space="preserve"> (DECC</w:t>
      </w:r>
      <w:proofErr w:type="gramStart"/>
      <w:r w:rsidR="00BC2BBE">
        <w:t>)Oklahoma</w:t>
      </w:r>
      <w:proofErr w:type="gramEnd"/>
      <w:r w:rsidR="00BC2BBE">
        <w:t xml:space="preserve"> City, OK (OKC).</w:t>
      </w:r>
      <w:r w:rsidR="00A42626" w:rsidRPr="009A4FEF">
        <w:t xml:space="preserve">  </w:t>
      </w:r>
    </w:p>
    <w:p w:rsidR="00611042" w:rsidRDefault="00C7438C" w:rsidP="000C7738">
      <w:pPr>
        <w:pStyle w:val="Heading2"/>
      </w:pPr>
      <w:bookmarkStart w:id="44" w:name="_Toc422888420"/>
      <w:bookmarkStart w:id="45" w:name="_Toc423313547"/>
      <w:bookmarkStart w:id="46" w:name="_Toc430741518"/>
      <w:bookmarkStart w:id="47" w:name="_Toc431105573"/>
      <w:bookmarkStart w:id="48" w:name="_Toc431107352"/>
      <w:bookmarkStart w:id="49" w:name="_Toc431107440"/>
      <w:bookmarkStart w:id="50" w:name="_Toc431107538"/>
      <w:bookmarkStart w:id="51" w:name="_Toc431112848"/>
      <w:bookmarkStart w:id="52" w:name="_Toc431578867"/>
      <w:bookmarkStart w:id="53" w:name="_Toc442077149"/>
      <w:bookmarkStart w:id="54" w:name="_Toc260898165"/>
      <w:r>
        <w:t>Reference Documents</w:t>
      </w:r>
      <w:bookmarkEnd w:id="44"/>
      <w:bookmarkEnd w:id="45"/>
      <w:bookmarkEnd w:id="46"/>
      <w:bookmarkEnd w:id="47"/>
      <w:bookmarkEnd w:id="48"/>
      <w:bookmarkEnd w:id="49"/>
      <w:bookmarkEnd w:id="50"/>
      <w:bookmarkEnd w:id="51"/>
      <w:bookmarkEnd w:id="52"/>
      <w:bookmarkEnd w:id="53"/>
      <w:bookmarkEnd w:id="54"/>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place">
        <w:smartTag w:uri="urn:schemas-microsoft-com:office:smarttags" w:element="City">
          <w:r w:rsidR="00C74A82">
            <w:t>Falls Church</w:t>
          </w:r>
        </w:smartTag>
        <w:r w:rsidR="00C74A82">
          <w:t xml:space="preserve">, </w:t>
        </w:r>
        <w:smartTag w:uri="urn:schemas-microsoft-com:office:smarttags" w:element="State">
          <w:r w:rsidR="006922A8">
            <w:t>V</w:t>
          </w:r>
          <w:r w:rsidR="00F31546">
            <w:t>A</w:t>
          </w:r>
        </w:smartTag>
      </w:smartTag>
      <w:r w:rsidR="00C74A82">
        <w:t>, December 1997.</w:t>
      </w:r>
    </w:p>
    <w:p w:rsidR="004D6203" w:rsidRDefault="003C29BE" w:rsidP="009A4FEF">
      <w:pPr>
        <w:pStyle w:val="ListNumber2s"/>
      </w:pPr>
      <w:r>
        <w:t xml:space="preserve">EIDS Program Office, </w:t>
      </w:r>
      <w:r>
        <w:rPr>
          <w:i/>
        </w:rPr>
        <w:t>Initial Capabilities Document (ICD),</w:t>
      </w:r>
      <w:r>
        <w:t xml:space="preserve"> dated March 2006 (pending JROC approval)</w:t>
      </w:r>
      <w:r w:rsidR="009A4FEF">
        <w:t>.</w:t>
      </w:r>
    </w:p>
    <w:p w:rsidR="00C7438C" w:rsidRDefault="00C7438C">
      <w:pPr>
        <w:pStyle w:val="Heading2"/>
      </w:pPr>
      <w:bookmarkStart w:id="55" w:name="_Toc422888421"/>
      <w:bookmarkStart w:id="56" w:name="_Toc423313548"/>
      <w:bookmarkStart w:id="57" w:name="_Toc430741519"/>
      <w:bookmarkStart w:id="58" w:name="_Toc431105574"/>
      <w:bookmarkStart w:id="59" w:name="_Toc431107353"/>
      <w:bookmarkStart w:id="60" w:name="_Toc431107441"/>
      <w:bookmarkStart w:id="61" w:name="_Toc431107539"/>
      <w:bookmarkStart w:id="62" w:name="_Toc431112849"/>
      <w:bookmarkStart w:id="63" w:name="_Toc431578868"/>
      <w:bookmarkStart w:id="64" w:name="_Toc442077150"/>
      <w:bookmarkStart w:id="65" w:name="_Toc260898166"/>
      <w:r>
        <w:t>Operational Agreement</w:t>
      </w:r>
      <w:bookmarkEnd w:id="55"/>
      <w:bookmarkEnd w:id="56"/>
      <w:bookmarkEnd w:id="57"/>
      <w:bookmarkEnd w:id="58"/>
      <w:bookmarkEnd w:id="59"/>
      <w:bookmarkEnd w:id="60"/>
      <w:bookmarkEnd w:id="61"/>
      <w:bookmarkEnd w:id="62"/>
      <w:bookmarkEnd w:id="63"/>
      <w:bookmarkEnd w:id="64"/>
      <w:bookmarkEnd w:id="65"/>
    </w:p>
    <w:p w:rsidR="009A4FEF" w:rsidRDefault="009A4FEF" w:rsidP="009A4FEF">
      <w:pPr>
        <w:pStyle w:val="p"/>
      </w:pPr>
      <w:r>
        <w:t>This ICD provides the technical specificati</w:t>
      </w:r>
      <w:r w:rsidR="006A0AD6">
        <w:t>on for an interface between Altarum</w:t>
      </w:r>
      <w:r>
        <w:t xml:space="preserve"> and the DHSS Program Office regarding </w:t>
      </w:r>
      <w:r w:rsidR="006A0AD6">
        <w:t>SAF d</w:t>
      </w:r>
      <w:r>
        <w:t>ata files.  I</w:t>
      </w:r>
      <w:r w:rsidRPr="00543F6C">
        <w:t xml:space="preserve">t is the responsibility of the </w:t>
      </w:r>
      <w:r w:rsidR="006A0AD6">
        <w:t xml:space="preserve">responsible TMA </w:t>
      </w:r>
      <w:r>
        <w:t xml:space="preserve">Office (i.e., </w:t>
      </w:r>
      <w:r w:rsidR="006A0AD6">
        <w:t>HPA&amp;E</w:t>
      </w:r>
      <w:r>
        <w:t xml:space="preserve">) </w:t>
      </w:r>
      <w:r w:rsidRPr="00543F6C">
        <w:t xml:space="preserve">to notify </w:t>
      </w:r>
      <w:r>
        <w:t>DHSS</w:t>
      </w:r>
      <w:r w:rsidRPr="00543F6C">
        <w:t xml:space="preserve"> of any potential or planned changes to data feed formats or contents as soon as these potential changes are known in order to minimize adverse impact</w:t>
      </w:r>
      <w:r>
        <w:t>s</w:t>
      </w:r>
      <w:r w:rsidRPr="00543F6C">
        <w:t xml:space="preserve"> on </w:t>
      </w:r>
      <w:r w:rsidR="006A0AD6">
        <w:t>the MDR</w:t>
      </w:r>
      <w:r>
        <w:t xml:space="preserve">. When required, modifications to the ICD will be made by the data receiver (i.e., DHSS Program Office), and a copy of the revised ICD will be sent to the data sender (i.e., </w:t>
      </w:r>
      <w:r w:rsidR="006A0AD6">
        <w:t>HPA&amp;E through Altarum</w:t>
      </w:r>
      <w:r>
        <w:t xml:space="preserve">). </w:t>
      </w:r>
    </w:p>
    <w:p w:rsidR="009A4FEF" w:rsidRDefault="006A0AD6" w:rsidP="009A4FEF">
      <w:pPr>
        <w:pStyle w:val="p"/>
      </w:pPr>
      <w:r>
        <w:t>Appendix A delineates the SAF</w:t>
      </w:r>
      <w:r w:rsidR="009A4FEF">
        <w:t xml:space="preserve"> data file that DHSS receives from </w:t>
      </w:r>
      <w:r>
        <w:t>Altarum</w:t>
      </w:r>
      <w:r w:rsidR="009A4FEF">
        <w:t>.</w:t>
      </w:r>
    </w:p>
    <w:p w:rsidR="00DA3492" w:rsidRDefault="009A4FEF" w:rsidP="009A4FEF">
      <w:pPr>
        <w:pStyle w:val="p"/>
      </w:pPr>
      <w:r>
        <w:t xml:space="preserve">Should problems </w:t>
      </w:r>
      <w:r w:rsidR="00BC2BBE">
        <w:t xml:space="preserve">occur </w:t>
      </w:r>
      <w:r>
        <w:t xml:space="preserve">with the interface, DHSS data production support personnel will immediately contact </w:t>
      </w:r>
      <w:r w:rsidR="006A0AD6">
        <w:t>Altarum</w:t>
      </w:r>
      <w:r>
        <w:t xml:space="preserve"> personnel.  Should there be systemic data problems recognized during </w:t>
      </w:r>
      <w:smartTag w:uri="urn:schemas-microsoft-com:office:smarttags" w:element="stockticker">
        <w:r>
          <w:t>MDR</w:t>
        </w:r>
      </w:smartTag>
      <w:r>
        <w:t xml:space="preserve"> processing, DHSS members will coordinate with their counterparts in </w:t>
      </w:r>
      <w:r w:rsidR="006A0AD6">
        <w:t>HPA&amp;E</w:t>
      </w:r>
      <w:r>
        <w:t>.</w:t>
      </w:r>
      <w:r w:rsidR="002B3DB4">
        <w:t xml:space="preserve"> </w:t>
      </w:r>
    </w:p>
    <w:p w:rsidR="009A4FEF" w:rsidRDefault="009A4FEF" w:rsidP="009A4FEF">
      <w:pPr>
        <w:pStyle w:val="p"/>
        <w:sectPr w:rsidR="009A4FEF" w:rsidSect="00475C0F">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260898167"/>
      <w:bookmarkStart w:id="77" w:name="_Toc425098106"/>
      <w:bookmarkStart w:id="78" w:name="_Toc425516663"/>
      <w:bookmarkStart w:id="79" w:name="_Toc425752470"/>
      <w:bookmarkStart w:id="80" w:name="_Toc425928396"/>
      <w:bookmarkStart w:id="81" w:name="_Toc429159282"/>
      <w:bookmarkStart w:id="82" w:name="_Toc429800093"/>
      <w:r>
        <w:t>D</w:t>
      </w:r>
      <w:bookmarkEnd w:id="66"/>
      <w:bookmarkEnd w:id="67"/>
      <w:bookmarkEnd w:id="68"/>
      <w:bookmarkEnd w:id="69"/>
      <w:bookmarkEnd w:id="70"/>
      <w:bookmarkEnd w:id="71"/>
      <w:bookmarkEnd w:id="72"/>
      <w:bookmarkEnd w:id="73"/>
      <w:r>
        <w:t>ata Specification</w:t>
      </w:r>
      <w:bookmarkEnd w:id="74"/>
      <w:bookmarkEnd w:id="75"/>
      <w:bookmarkEnd w:id="76"/>
    </w:p>
    <w:p w:rsidR="00C7438C" w:rsidRDefault="00C7438C">
      <w:pPr>
        <w:pStyle w:val="Heading2"/>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260898168"/>
      <w:bookmarkEnd w:id="77"/>
      <w:bookmarkEnd w:id="78"/>
      <w:bookmarkEnd w:id="79"/>
      <w:bookmarkEnd w:id="80"/>
      <w:bookmarkEnd w:id="81"/>
      <w:bookmarkEnd w:id="82"/>
      <w:r>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9A4FEF" w:rsidRDefault="009A4FEF" w:rsidP="009A4FEF">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t xml:space="preserve">This ICD addresses the following data exchange from </w:t>
      </w:r>
      <w:r w:rsidR="00893239">
        <w:t>Altarum</w:t>
      </w:r>
      <w:r>
        <w:t xml:space="preserve"> to DHSS:</w:t>
      </w:r>
    </w:p>
    <w:p w:rsidR="009A4FEF" w:rsidRDefault="00893239" w:rsidP="009A4FEF">
      <w:pPr>
        <w:pStyle w:val="p"/>
        <w:numPr>
          <w:ilvl w:val="0"/>
          <w:numId w:val="10"/>
        </w:numPr>
      </w:pPr>
      <w:r>
        <w:t>Service Area File (SAF)</w:t>
      </w:r>
      <w:r w:rsidR="009A4FEF">
        <w:t xml:space="preserve"> file</w:t>
      </w:r>
      <w:r>
        <w:t>.</w:t>
      </w:r>
      <w:r w:rsidR="009A4FEF">
        <w:t xml:space="preserve"> </w:t>
      </w:r>
    </w:p>
    <w:p w:rsidR="00C7438C" w:rsidRDefault="009A4FEF" w:rsidP="009A4FEF">
      <w:pPr>
        <w:pStyle w:val="p"/>
      </w:pPr>
      <w:r>
        <w:t xml:space="preserve">This ICD will be changed </w:t>
      </w:r>
      <w:r>
        <w:rPr>
          <w:i/>
        </w:rPr>
        <w:t>only</w:t>
      </w:r>
      <w:r>
        <w:t xml:space="preserve"> if the interface changes from the interface specified herein</w:t>
      </w:r>
      <w:r w:rsidR="00C7438C">
        <w:t>.</w:t>
      </w:r>
    </w:p>
    <w:p w:rsidR="00C7438C" w:rsidRDefault="00C7438C">
      <w:pPr>
        <w:pStyle w:val="Heading2"/>
      </w:pPr>
      <w:bookmarkStart w:id="104" w:name="_Toc442077154"/>
      <w:bookmarkStart w:id="105" w:name="_Toc260898169"/>
      <w:r>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33335A" w:rsidRDefault="00893239" w:rsidP="0033335A">
      <w:pPr>
        <w:pStyle w:val="p"/>
      </w:pPr>
      <w:r>
        <w:t xml:space="preserve">SAF is used as a reference file to process various medical claims.  Processing cannot proceed without these updated reference files. </w:t>
      </w:r>
      <w:r w:rsidR="009A4FEF">
        <w:t xml:space="preserve">Updates are required for effective performance of the business.  An inability to obtain this data could have adverse consequences on the ability of MHS managers to oversee MHS program operations. </w:t>
      </w:r>
    </w:p>
    <w:p w:rsidR="00C7438C" w:rsidRDefault="00C7438C">
      <w:pPr>
        <w:pStyle w:val="Heading2"/>
      </w:pPr>
      <w:bookmarkStart w:id="106" w:name="_Toc431578873"/>
      <w:bookmarkStart w:id="107" w:name="_Toc442077155"/>
      <w:bookmarkStart w:id="108" w:name="_Toc260898170"/>
      <w:r>
        <w:t>Communications Methods</w:t>
      </w:r>
      <w:bookmarkEnd w:id="106"/>
      <w:bookmarkEnd w:id="107"/>
      <w:bookmarkEnd w:id="108"/>
    </w:p>
    <w:p w:rsidR="00140DC6" w:rsidRDefault="00893239">
      <w:pPr>
        <w:pStyle w:val="p"/>
      </w:pPr>
      <w:r>
        <w:t xml:space="preserve">Altarum, as contracted by HPA&amp;E, generates the </w:t>
      </w:r>
      <w:r w:rsidR="004A0572">
        <w:t xml:space="preserve">SAF </w:t>
      </w:r>
      <w:r>
        <w:t>fi</w:t>
      </w:r>
      <w:r w:rsidR="004A0572">
        <w:t>le and sends the file via email to DHSS Operations monthly, normally by the 20</w:t>
      </w:r>
      <w:r w:rsidR="004A0572" w:rsidRPr="004A0572">
        <w:rPr>
          <w:vertAlign w:val="superscript"/>
        </w:rPr>
        <w:t>th</w:t>
      </w:r>
      <w:r w:rsidR="004A0572">
        <w:t xml:space="preserve"> day of the month. </w:t>
      </w:r>
      <w:r>
        <w:t xml:space="preserve">The file is scanned and then uploaded into MDR for use in processing various medical claims. </w:t>
      </w:r>
      <w:r w:rsidR="004A0572">
        <w:t xml:space="preserve">MDR is physically located at </w:t>
      </w:r>
      <w:r w:rsidR="000059F6">
        <w:t xml:space="preserve">Oklahoma City (OKC) </w:t>
      </w:r>
      <w:smartTag w:uri="urn:schemas-microsoft-com:office:smarttags" w:element="place">
        <w:smartTag w:uri="urn:schemas-microsoft-com:office:smarttags" w:element="PlaceName">
          <w:r w:rsidR="000059F6">
            <w:t>Defense</w:t>
          </w:r>
        </w:smartTag>
        <w:r w:rsidR="000059F6">
          <w:t xml:space="preserve"> </w:t>
        </w:r>
        <w:smartTag w:uri="urn:schemas-microsoft-com:office:smarttags" w:element="PlaceName">
          <w:r w:rsidR="000059F6">
            <w:t>Enterprise</w:t>
          </w:r>
        </w:smartTag>
        <w:r w:rsidR="000059F6">
          <w:t xml:space="preserve"> </w:t>
        </w:r>
        <w:smartTag w:uri="urn:schemas-microsoft-com:office:smarttags" w:element="PlaceName">
          <w:r w:rsidR="000059F6">
            <w:t>Computing</w:t>
          </w:r>
        </w:smartTag>
        <w:r w:rsidR="000059F6">
          <w:t xml:space="preserve"> </w:t>
        </w:r>
        <w:smartTag w:uri="urn:schemas-microsoft-com:office:smarttags" w:element="PlaceType">
          <w:r w:rsidR="000059F6">
            <w:t>Center</w:t>
          </w:r>
        </w:smartTag>
      </w:smartTag>
      <w:r w:rsidR="000059F6">
        <w:t xml:space="preserve"> (DECC)</w:t>
      </w:r>
      <w:r w:rsidR="00DC6266">
        <w:t>.</w:t>
      </w:r>
    </w:p>
    <w:p w:rsidR="00C7438C" w:rsidRDefault="00DC6266">
      <w:pPr>
        <w:pStyle w:val="p"/>
      </w:pPr>
      <w:r>
        <w:t xml:space="preserve">The </w:t>
      </w:r>
      <w:r w:rsidR="004A0572">
        <w:t>SAF</w:t>
      </w:r>
      <w:r>
        <w:t xml:space="preserve"> </w:t>
      </w:r>
      <w:r w:rsidR="00140DC6">
        <w:t>file</w:t>
      </w:r>
      <w:r>
        <w:t>s</w:t>
      </w:r>
      <w:r w:rsidR="00140DC6">
        <w:t xml:space="preserve"> </w:t>
      </w:r>
      <w:r w:rsidR="004A0572">
        <w:t xml:space="preserve">DO NOT </w:t>
      </w:r>
      <w:r w:rsidR="00140DC6">
        <w:t xml:space="preserve">contain </w:t>
      </w:r>
      <w:r w:rsidR="00F0688C">
        <w:t>Protected Health Information (PHI)</w:t>
      </w:r>
      <w:r w:rsidR="004A0572">
        <w:t xml:space="preserve"> and there is NO </w:t>
      </w:r>
      <w:r w:rsidR="00F0688C">
        <w:t>classified information contained in t</w:t>
      </w:r>
      <w:r w:rsidR="004A0572">
        <w:t>he files.</w:t>
      </w:r>
      <w:r w:rsidR="00E0649E">
        <w:t xml:space="preserve"> </w:t>
      </w:r>
    </w:p>
    <w:p w:rsidR="00C7438C" w:rsidRDefault="00C7438C">
      <w:pPr>
        <w:pStyle w:val="Heading2"/>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260898171"/>
      <w:r>
        <w:t>Performance Requirements</w:t>
      </w:r>
      <w:bookmarkEnd w:id="109"/>
      <w:bookmarkEnd w:id="110"/>
      <w:bookmarkEnd w:id="111"/>
      <w:bookmarkEnd w:id="112"/>
      <w:bookmarkEnd w:id="113"/>
      <w:bookmarkEnd w:id="114"/>
      <w:bookmarkEnd w:id="115"/>
      <w:bookmarkEnd w:id="116"/>
      <w:bookmarkEnd w:id="117"/>
      <w:bookmarkEnd w:id="118"/>
      <w:bookmarkEnd w:id="119"/>
    </w:p>
    <w:p w:rsidR="00C7438C" w:rsidRDefault="00DA6BAF">
      <w:pPr>
        <w:pStyle w:val="p"/>
      </w:pPr>
      <w:r>
        <w:t>There are no unique performance requirements for this data.  The data needs to be provided according to a regularly scheduled time frame</w:t>
      </w:r>
      <w:r w:rsidR="007B2EB4">
        <w:t>.</w:t>
      </w:r>
    </w:p>
    <w:p w:rsidR="00C7438C" w:rsidRDefault="00C7438C">
      <w:pPr>
        <w:pStyle w:val="Heading2"/>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260898172"/>
      <w:r>
        <w:t>Security and Integrity</w:t>
      </w:r>
      <w:bookmarkEnd w:id="120"/>
      <w:bookmarkEnd w:id="121"/>
      <w:bookmarkEnd w:id="122"/>
      <w:bookmarkEnd w:id="123"/>
      <w:bookmarkEnd w:id="124"/>
      <w:bookmarkEnd w:id="125"/>
      <w:bookmarkEnd w:id="126"/>
      <w:bookmarkEnd w:id="127"/>
      <w:bookmarkEnd w:id="128"/>
      <w:bookmarkEnd w:id="129"/>
      <w:bookmarkEnd w:id="130"/>
    </w:p>
    <w:p w:rsidR="00D93E0D" w:rsidRDefault="00D93E0D" w:rsidP="00D93E0D">
      <w:pPr>
        <w:pStyle w:val="p"/>
      </w:pPr>
      <w:r>
        <w:t xml:space="preserve">The data exchanged in this interface </w:t>
      </w:r>
      <w:r w:rsidR="00825696">
        <w:t>does</w:t>
      </w:r>
      <w:r w:rsidR="00CB6A55">
        <w:t xml:space="preserve"> </w:t>
      </w:r>
      <w:r w:rsidR="004A0572">
        <w:t xml:space="preserve">not </w:t>
      </w:r>
      <w:r w:rsidR="00CB6A55">
        <w:t>contain</w:t>
      </w:r>
      <w:r>
        <w:t xml:space="preserve"> protected patient level identifiable information.  </w:t>
      </w:r>
      <w:r w:rsidR="00825696">
        <w:t>T</w:t>
      </w:r>
      <w:r>
        <w:t xml:space="preserve">he aggregate data </w:t>
      </w:r>
      <w:r w:rsidR="00CB6A55">
        <w:t xml:space="preserve">within the DHSS processing area </w:t>
      </w:r>
      <w:r>
        <w:t>contain</w:t>
      </w:r>
      <w:r w:rsidR="00825696">
        <w:t>s</w:t>
      </w:r>
      <w:r>
        <w:t xml:space="preserve"> sensitive data</w:t>
      </w:r>
      <w:r w:rsidR="00825696">
        <w:t xml:space="preserve">.  Therefore </w:t>
      </w:r>
      <w:r w:rsidR="00DF2B1B">
        <w:t>it will be protected in accordance with the security requirements mandated for all "Sensitive Information Systems" by the requirements of DoD Directive 8500.1 and DoD Instruction 8500.2.  These standards help ensure compliance with the following Federal laws:</w:t>
      </w:r>
    </w:p>
    <w:p w:rsidR="00D93E0D" w:rsidRDefault="00D93E0D" w:rsidP="005B5F95">
      <w:pPr>
        <w:pStyle w:val="ListBullet2s"/>
      </w:pPr>
      <w:r>
        <w:t>Privacy Act of 1974</w:t>
      </w:r>
    </w:p>
    <w:p w:rsidR="00D93E0D" w:rsidRDefault="00D93E0D" w:rsidP="005B5F95">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D93E0D" w:rsidRDefault="00D93E0D" w:rsidP="00BE313A">
      <w:pPr>
        <w:pStyle w:val="ListBullet2s"/>
      </w:pPr>
      <w:r>
        <w:t>Computer Security Act of 1987</w:t>
      </w:r>
    </w:p>
    <w:p w:rsidR="00372460" w:rsidRDefault="00372460" w:rsidP="00BE313A">
      <w:r>
        <w:t xml:space="preserve">All Tier 3 vendors working to develop the </w:t>
      </w:r>
      <w:r w:rsidR="009A4FEF">
        <w:t>ADDP</w:t>
      </w:r>
      <w:r>
        <w:t xml:space="preserve"> datasets have a DoD Data Use Agreement (DUA) on file with the TMA Privacy Office.  In addition, this interface and associated Information Assurance (IA) and security controls are docume</w:t>
      </w:r>
      <w:r w:rsidR="00BE313A">
        <w:t xml:space="preserve">nted in the </w:t>
      </w:r>
      <w:proofErr w:type="spellStart"/>
      <w:r w:rsidR="00BE313A">
        <w:t>Datamarts</w:t>
      </w:r>
      <w:proofErr w:type="spellEnd"/>
      <w:r w:rsidR="00BE313A">
        <w:t xml:space="preserve"> System Security Authorization Agreement (SSAA) as MDR and is now part of the </w:t>
      </w:r>
      <w:proofErr w:type="spellStart"/>
      <w:r w:rsidR="00BE313A">
        <w:t>Datamarts</w:t>
      </w:r>
      <w:proofErr w:type="spellEnd"/>
      <w:r w:rsidR="00BE313A">
        <w:t xml:space="preserve"> accreditation boundary</w:t>
      </w:r>
      <w:r>
        <w:t>.</w:t>
      </w:r>
    </w:p>
    <w:p w:rsidR="00C7438C" w:rsidRDefault="00C7438C">
      <w:pPr>
        <w:pStyle w:val="Heading3"/>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260898173"/>
      <w:r>
        <w:lastRenderedPageBreak/>
        <w:t>Data Integrity and Quality</w:t>
      </w:r>
      <w:bookmarkEnd w:id="131"/>
      <w:bookmarkEnd w:id="132"/>
      <w:bookmarkEnd w:id="133"/>
      <w:bookmarkEnd w:id="134"/>
      <w:bookmarkEnd w:id="135"/>
      <w:bookmarkEnd w:id="136"/>
      <w:bookmarkEnd w:id="137"/>
      <w:bookmarkEnd w:id="138"/>
      <w:bookmarkEnd w:id="139"/>
      <w:bookmarkEnd w:id="140"/>
      <w:bookmarkEnd w:id="141"/>
    </w:p>
    <w:p w:rsidR="006F31DE" w:rsidRDefault="006F31DE" w:rsidP="00E10BD2">
      <w:pPr>
        <w:jc w:val="both"/>
      </w:pPr>
      <w:r>
        <w:t>Data integrity and quality of raw data files that DHSS receives involve processes that answer the following questions:</w:t>
      </w:r>
    </w:p>
    <w:p w:rsidR="006F31DE" w:rsidRDefault="006F31DE" w:rsidP="00E10BD2">
      <w:pPr>
        <w:jc w:val="both"/>
      </w:pPr>
    </w:p>
    <w:p w:rsidR="00E10BD2" w:rsidRDefault="006F31DE" w:rsidP="006F31DE">
      <w:pPr>
        <w:numPr>
          <w:ilvl w:val="0"/>
          <w:numId w:val="27"/>
        </w:numPr>
        <w:jc w:val="both"/>
      </w:pPr>
      <w:bookmarkStart w:id="142" w:name="_Toc480850299"/>
      <w:bookmarkStart w:id="143" w:name="_Toc446083120"/>
      <w:r>
        <w:t>Did DHSS catch the files?</w:t>
      </w:r>
    </w:p>
    <w:p w:rsidR="006F31DE" w:rsidRDefault="006F31DE" w:rsidP="006F31DE">
      <w:pPr>
        <w:numPr>
          <w:ilvl w:val="0"/>
          <w:numId w:val="27"/>
        </w:numPr>
        <w:jc w:val="both"/>
      </w:pPr>
      <w:r>
        <w:t>Are the files readable and complete?</w:t>
      </w:r>
    </w:p>
    <w:p w:rsidR="006F31DE" w:rsidRDefault="006F31DE" w:rsidP="006F31DE">
      <w:pPr>
        <w:numPr>
          <w:ilvl w:val="0"/>
          <w:numId w:val="27"/>
        </w:numPr>
        <w:jc w:val="both"/>
      </w:pPr>
      <w:r>
        <w:t>Do the record counts within the files agree with other sources of what should have been received?</w:t>
      </w:r>
    </w:p>
    <w:p w:rsidR="006F31DE" w:rsidRDefault="006F31DE" w:rsidP="006F31DE">
      <w:pPr>
        <w:numPr>
          <w:ilvl w:val="0"/>
          <w:numId w:val="27"/>
        </w:numPr>
        <w:jc w:val="both"/>
      </w:pPr>
      <w:r>
        <w:t xml:space="preserve">Are the data field values </w:t>
      </w:r>
      <w:r w:rsidR="00226D7C">
        <w:t xml:space="preserve">within the records </w:t>
      </w:r>
      <w:r>
        <w:t>accurate within reason?</w:t>
      </w:r>
    </w:p>
    <w:p w:rsidR="006F31DE" w:rsidRDefault="006F31DE" w:rsidP="006F31DE">
      <w:pPr>
        <w:jc w:val="both"/>
      </w:pPr>
    </w:p>
    <w:p w:rsidR="00DA6BAF" w:rsidRDefault="006F31DE" w:rsidP="00E10BD2">
      <w:pPr>
        <w:jc w:val="both"/>
      </w:pPr>
      <w:r>
        <w:t>Answering the first 3 questions involves automated and accepted assessment methods that have matured over the last 10 years.</w:t>
      </w:r>
      <w:r w:rsidR="00226D7C">
        <w:t xml:space="preserve">  </w:t>
      </w:r>
      <w:r w:rsidR="004A0572">
        <w:t>SAF</w:t>
      </w:r>
      <w:r w:rsidR="00226D7C">
        <w:t xml:space="preserve"> records are </w:t>
      </w:r>
      <w:r w:rsidR="009A4FEF">
        <w:t>r</w:t>
      </w:r>
      <w:r w:rsidR="004A0572">
        <w:t>eference data</w:t>
      </w:r>
      <w:r w:rsidR="009A4FEF">
        <w:t xml:space="preserve"> and are accepted by DHSS as-is.</w:t>
      </w:r>
      <w:r>
        <w:t xml:space="preserve"> DHSS </w:t>
      </w:r>
      <w:r w:rsidR="00226D7C">
        <w:t>has implemented the</w:t>
      </w:r>
      <w:r>
        <w:t xml:space="preserve"> following </w:t>
      </w:r>
      <w:r w:rsidR="00226D7C">
        <w:t xml:space="preserve">processes </w:t>
      </w:r>
      <w:r>
        <w:t>with respect to the questions:</w:t>
      </w:r>
    </w:p>
    <w:p w:rsidR="006F31DE" w:rsidRDefault="006F31DE" w:rsidP="006F31DE">
      <w:pPr>
        <w:jc w:val="both"/>
      </w:pPr>
    </w:p>
    <w:p w:rsidR="006F31DE" w:rsidRDefault="006F31DE" w:rsidP="006F31DE">
      <w:pPr>
        <w:numPr>
          <w:ilvl w:val="0"/>
          <w:numId w:val="29"/>
        </w:numPr>
        <w:jc w:val="both"/>
      </w:pPr>
      <w:r>
        <w:t xml:space="preserve">DHSS </w:t>
      </w:r>
      <w:r w:rsidR="00226D7C">
        <w:t xml:space="preserve">validates that </w:t>
      </w:r>
      <w:r w:rsidR="00BC2BBE">
        <w:t>Operations</w:t>
      </w:r>
      <w:r w:rsidR="00226D7C">
        <w:t xml:space="preserve"> receives</w:t>
      </w:r>
      <w:r w:rsidR="00531337">
        <w:t xml:space="preserve"> the </w:t>
      </w:r>
      <w:r w:rsidR="004A0572">
        <w:t>email file</w:t>
      </w:r>
      <w:r w:rsidR="00531337">
        <w:t xml:space="preserve"> from </w:t>
      </w:r>
      <w:r w:rsidR="004A0572">
        <w:t>Altarum</w:t>
      </w:r>
      <w:r w:rsidR="00531337">
        <w:t xml:space="preserve"> as pre-determined in the schedule</w:t>
      </w:r>
      <w:r w:rsidR="00226D7C">
        <w:t>.</w:t>
      </w:r>
    </w:p>
    <w:p w:rsidR="006F31DE" w:rsidRDefault="006F31DE" w:rsidP="006F31DE">
      <w:pPr>
        <w:numPr>
          <w:ilvl w:val="0"/>
          <w:numId w:val="29"/>
        </w:numPr>
        <w:jc w:val="both"/>
      </w:pPr>
      <w:r>
        <w:t>Automated methods insure the file is readable</w:t>
      </w:r>
      <w:r w:rsidR="004A0572">
        <w:t>, is virus-free,</w:t>
      </w:r>
      <w:r>
        <w:t xml:space="preserve"> and the file is complete</w:t>
      </w:r>
      <w:r w:rsidR="00226D7C">
        <w:t>.</w:t>
      </w:r>
    </w:p>
    <w:p w:rsidR="006F31DE" w:rsidRDefault="00531337" w:rsidP="006F31DE">
      <w:pPr>
        <w:numPr>
          <w:ilvl w:val="0"/>
          <w:numId w:val="29"/>
        </w:numPr>
        <w:jc w:val="both"/>
      </w:pPr>
      <w:r>
        <w:t xml:space="preserve">There are no record counts </w:t>
      </w:r>
      <w:r w:rsidR="004A0572">
        <w:t>comparisons that can be accomplished with SAF</w:t>
      </w:r>
      <w:r>
        <w:t>.</w:t>
      </w:r>
    </w:p>
    <w:p w:rsidR="00BF4FF6" w:rsidRDefault="004A0572" w:rsidP="006F31DE">
      <w:pPr>
        <w:numPr>
          <w:ilvl w:val="0"/>
          <w:numId w:val="29"/>
        </w:numPr>
        <w:jc w:val="both"/>
      </w:pPr>
      <w:r>
        <w:t xml:space="preserve">The </w:t>
      </w:r>
      <w:r w:rsidR="00BF4FF6">
        <w:t xml:space="preserve">field data values </w:t>
      </w:r>
      <w:r>
        <w:t>must meet the prescribed values or the reference file cannot be used.  Should values be out tolerance, this will be made known to Altarum and an updated SAF will be required.</w:t>
      </w:r>
      <w:r w:rsidR="00BF4FF6">
        <w:t xml:space="preserve"> </w:t>
      </w:r>
    </w:p>
    <w:p w:rsidR="00F43FCB" w:rsidRDefault="00F43FCB" w:rsidP="00F43FCB">
      <w:pPr>
        <w:jc w:val="both"/>
      </w:pPr>
    </w:p>
    <w:p w:rsidR="00F43FCB" w:rsidRDefault="00F43FCB" w:rsidP="00F43FCB">
      <w:pPr>
        <w:jc w:val="both"/>
      </w:pPr>
      <w:r>
        <w:t>The methods continue to mature as better methods, data so</w:t>
      </w:r>
      <w:r w:rsidR="00531337">
        <w:t>urces, and technology advance.</w:t>
      </w:r>
      <w:r>
        <w:t xml:space="preserve"> </w:t>
      </w:r>
    </w:p>
    <w:p w:rsidR="006F31DE" w:rsidRPr="00E10BD2" w:rsidRDefault="006F31DE" w:rsidP="006F31DE">
      <w:pPr>
        <w:jc w:val="both"/>
        <w:sectPr w:rsidR="006F31DE" w:rsidRPr="00E10BD2" w:rsidSect="00164FAD">
          <w:footerReference w:type="default" r:id="rId16"/>
          <w:pgSz w:w="12240" w:h="15840" w:code="1"/>
          <w:pgMar w:top="1440" w:right="1800" w:bottom="1080" w:left="1800" w:header="720" w:footer="720" w:gutter="0"/>
          <w:pgNumType w:start="1" w:chapStyle="1"/>
          <w:cols w:space="720"/>
        </w:sectPr>
      </w:pPr>
    </w:p>
    <w:p w:rsidR="004C6D59" w:rsidRPr="00CA3CD1" w:rsidRDefault="00CA3CD1" w:rsidP="00CA3CD1">
      <w:pPr>
        <w:jc w:val="center"/>
        <w:rPr>
          <w:b/>
          <w:sz w:val="36"/>
        </w:rPr>
      </w:pPr>
      <w:bookmarkStart w:id="144" w:name="_Toc260898174"/>
      <w:r w:rsidRPr="00CA3CD1">
        <w:rPr>
          <w:b/>
          <w:sz w:val="36"/>
        </w:rPr>
        <w:lastRenderedPageBreak/>
        <w:t xml:space="preserve">Appendix A: </w:t>
      </w:r>
      <w:r w:rsidR="00545F64" w:rsidRPr="00CA3CD1">
        <w:rPr>
          <w:b/>
          <w:sz w:val="36"/>
        </w:rPr>
        <w:t>SAF</w:t>
      </w:r>
      <w:r w:rsidR="00EF2F7B" w:rsidRPr="00CA3CD1">
        <w:rPr>
          <w:b/>
          <w:sz w:val="36"/>
        </w:rPr>
        <w:t xml:space="preserve"> File</w:t>
      </w:r>
      <w:r w:rsidR="00DA6BAF" w:rsidRPr="00CA3CD1">
        <w:rPr>
          <w:b/>
          <w:sz w:val="36"/>
        </w:rPr>
        <w:t xml:space="preserve"> Extract</w:t>
      </w:r>
      <w:bookmarkEnd w:id="144"/>
    </w:p>
    <w:p w:rsidR="004C6D59" w:rsidRDefault="004C6D59" w:rsidP="004C6D59">
      <w:pPr>
        <w:pStyle w:val="p"/>
        <w:rPr>
          <w:highlight w:val="lightGray"/>
        </w:rPr>
      </w:pPr>
    </w:p>
    <w:p w:rsidR="00843D33" w:rsidRPr="00CA3CD1" w:rsidRDefault="00CA3CD1" w:rsidP="00CA3CD1">
      <w:pPr>
        <w:rPr>
          <w:b/>
          <w:sz w:val="28"/>
        </w:rPr>
      </w:pPr>
      <w:bookmarkStart w:id="145" w:name="_Toc260898175"/>
      <w:bookmarkEnd w:id="142"/>
      <w:r w:rsidRPr="00CA3CD1">
        <w:rPr>
          <w:b/>
          <w:sz w:val="28"/>
        </w:rPr>
        <w:t xml:space="preserve">A.1 </w:t>
      </w:r>
      <w:r w:rsidR="00843D33" w:rsidRPr="00CA3CD1">
        <w:rPr>
          <w:b/>
          <w:sz w:val="28"/>
        </w:rPr>
        <w:t>File Format</w:t>
      </w:r>
      <w:bookmarkEnd w:id="145"/>
    </w:p>
    <w:p w:rsidR="00AE5568" w:rsidRDefault="00CF0A96" w:rsidP="00DA6BAF">
      <w:pPr>
        <w:pStyle w:val="p"/>
      </w:pPr>
      <w:r>
        <w:t>The Service A</w:t>
      </w:r>
      <w:r w:rsidR="008F3E35">
        <w:t>r</w:t>
      </w:r>
      <w:r>
        <w:t xml:space="preserve">ea File (SAF) is a set of records that identifies health programs that are available and eligible for specific areas within the </w:t>
      </w:r>
      <w:smartTag w:uri="urn:schemas-microsoft-com:office:smarttags" w:element="country-region">
        <w:smartTag w:uri="urn:schemas-microsoft-com:office:smarttags" w:element="place">
          <w:r>
            <w:t>United States</w:t>
          </w:r>
        </w:smartTag>
      </w:smartTag>
      <w:r>
        <w:t xml:space="preserve"> by ZIP Code.  It is used by a number of users such as a reference file in processing Active Duty Dental Program (ADDP) claims.  </w:t>
      </w:r>
    </w:p>
    <w:p w:rsidR="00DA6BAF" w:rsidRPr="00CA3CD1" w:rsidRDefault="00CA3CD1" w:rsidP="00CA3CD1">
      <w:pPr>
        <w:rPr>
          <w:b/>
          <w:sz w:val="28"/>
        </w:rPr>
      </w:pPr>
      <w:bookmarkStart w:id="146" w:name="_Toc453384477"/>
      <w:bookmarkStart w:id="147" w:name="_Toc84131734"/>
      <w:bookmarkStart w:id="148" w:name="_Toc260898176"/>
      <w:r w:rsidRPr="00CA3CD1">
        <w:rPr>
          <w:b/>
          <w:sz w:val="28"/>
        </w:rPr>
        <w:t xml:space="preserve">A.2 </w:t>
      </w:r>
      <w:r w:rsidR="00DA6BAF" w:rsidRPr="00CA3CD1">
        <w:rPr>
          <w:b/>
          <w:sz w:val="28"/>
        </w:rPr>
        <w:t>Record Layout</w:t>
      </w:r>
      <w:bookmarkEnd w:id="146"/>
      <w:bookmarkEnd w:id="147"/>
      <w:bookmarkEnd w:id="148"/>
    </w:p>
    <w:p w:rsidR="00843D33" w:rsidRDefault="00145189" w:rsidP="00F77C81">
      <w:pPr>
        <w:pStyle w:val="p"/>
      </w:pPr>
      <w:r w:rsidRPr="00031EB1">
        <w:rPr>
          <w:rStyle w:val="pChar"/>
        </w:rPr>
        <w:t xml:space="preserve">Table A-1 describes the layout of each </w:t>
      </w:r>
      <w:r w:rsidR="008F3E35">
        <w:rPr>
          <w:rStyle w:val="pChar"/>
        </w:rPr>
        <w:t xml:space="preserve">SAF record, a file containing many records. </w:t>
      </w:r>
      <w:r w:rsidR="008F3E35">
        <w:t xml:space="preserve">Record data elements are </w:t>
      </w:r>
      <w:r w:rsidR="006D2931">
        <w:t>pipe (“|”) delimited</w:t>
      </w:r>
      <w:r w:rsidR="008F3E35">
        <w:t xml:space="preserve">, and the record is terminated by the asterisk character (“*”).  </w:t>
      </w:r>
      <w:r>
        <w:rPr>
          <w:rStyle w:val="pChar"/>
        </w:rPr>
        <w:t xml:space="preserve">Each month </w:t>
      </w:r>
      <w:r w:rsidR="008F3E35">
        <w:rPr>
          <w:rStyle w:val="pChar"/>
        </w:rPr>
        <w:t>Altarum prepares the file and emails the file to DHSS Operations.  The file is scanned and uploaded into the MHS Data Repository (MDR)</w:t>
      </w:r>
      <w:r w:rsidR="005C72FE">
        <w:t xml:space="preserve">. </w:t>
      </w:r>
      <w:r w:rsidR="0080723F">
        <w:t xml:space="preserve"> </w:t>
      </w:r>
    </w:p>
    <w:p w:rsidR="00E0649E" w:rsidRPr="00CA3CD1" w:rsidRDefault="00CA3CD1" w:rsidP="00CA3CD1">
      <w:pPr>
        <w:rPr>
          <w:b/>
          <w:sz w:val="28"/>
        </w:rPr>
      </w:pPr>
      <w:bookmarkStart w:id="149" w:name="_Toc453384478"/>
      <w:bookmarkStart w:id="150" w:name="_Toc84131735"/>
      <w:bookmarkStart w:id="151" w:name="_Toc260898177"/>
      <w:r w:rsidRPr="00CA3CD1">
        <w:rPr>
          <w:b/>
          <w:sz w:val="28"/>
        </w:rPr>
        <w:t xml:space="preserve">A.3 </w:t>
      </w:r>
      <w:r w:rsidR="00DA6BAF" w:rsidRPr="00CA3CD1">
        <w:rPr>
          <w:b/>
          <w:sz w:val="28"/>
        </w:rPr>
        <w:t>File Operational Context</w:t>
      </w:r>
      <w:bookmarkEnd w:id="149"/>
      <w:bookmarkEnd w:id="150"/>
      <w:bookmarkEnd w:id="151"/>
    </w:p>
    <w:p w:rsidR="00CA3CD1" w:rsidRDefault="008F3E35" w:rsidP="00CA3CD1">
      <w:pPr>
        <w:pStyle w:val="p"/>
      </w:pPr>
      <w:r>
        <w:t>As described above in paragraph A.1, the SAF is used as a reference file to process various medical claims.</w:t>
      </w:r>
    </w:p>
    <w:p w:rsidR="0040272D" w:rsidRDefault="0080723F" w:rsidP="00E0649E">
      <w:pPr>
        <w:pStyle w:val="p"/>
        <w:sectPr w:rsidR="0040272D" w:rsidSect="00164FAD">
          <w:pgSz w:w="12240" w:h="15840" w:code="1"/>
          <w:pgMar w:top="1440" w:right="1800" w:bottom="1080" w:left="1800" w:header="720" w:footer="720" w:gutter="0"/>
          <w:pgNumType w:start="1" w:chapStyle="7"/>
          <w:cols w:space="720"/>
        </w:sectPr>
      </w:pPr>
      <w:r>
        <w:t xml:space="preserve"> </w:t>
      </w:r>
    </w:p>
    <w:p w:rsidR="00C7438C" w:rsidRDefault="003751D6" w:rsidP="003751D6">
      <w:pPr>
        <w:pStyle w:val="Caption"/>
      </w:pPr>
      <w:bookmarkStart w:id="152" w:name="_Toc260898179"/>
      <w:r>
        <w:lastRenderedPageBreak/>
        <w:t xml:space="preserve">Table </w:t>
      </w:r>
      <w:r w:rsidR="00EA19EF">
        <w:fldChar w:fldCharType="begin"/>
      </w:r>
      <w:r w:rsidR="00EA19EF">
        <w:instrText xml:space="preserve"> STYLEREF 7 \s </w:instrText>
      </w:r>
      <w:r w:rsidR="00EA19EF">
        <w:fldChar w:fldCharType="separate"/>
      </w:r>
      <w:r w:rsidR="0035327E">
        <w:rPr>
          <w:noProof/>
        </w:rPr>
        <w:t>A</w:t>
      </w:r>
      <w:r w:rsidR="00EA19EF">
        <w:fldChar w:fldCharType="end"/>
      </w:r>
      <w:r w:rsidR="00EA19EF">
        <w:noBreakHyphen/>
      </w:r>
      <w:r w:rsidR="00EA19EF">
        <w:fldChar w:fldCharType="begin"/>
      </w:r>
      <w:r w:rsidR="00EA19EF">
        <w:instrText xml:space="preserve"> SEQ Table \* ARABIC \s 7 </w:instrText>
      </w:r>
      <w:r w:rsidR="00EA19EF">
        <w:fldChar w:fldCharType="separate"/>
      </w:r>
      <w:r w:rsidR="0035327E">
        <w:rPr>
          <w:noProof/>
        </w:rPr>
        <w:t>1</w:t>
      </w:r>
      <w:r w:rsidR="00EA19EF">
        <w:fldChar w:fldCharType="end"/>
      </w:r>
      <w:r>
        <w:t xml:space="preserve"> </w:t>
      </w:r>
      <w:r w:rsidR="00545F64">
        <w:t>SAF</w:t>
      </w:r>
      <w:r w:rsidR="006E2918">
        <w:t xml:space="preserve"> </w:t>
      </w:r>
      <w:r w:rsidR="008902AD">
        <w:t>Record Data Elements</w:t>
      </w:r>
      <w:bookmarkEnd w:id="152"/>
    </w:p>
    <w:p w:rsidR="00E321BE" w:rsidRDefault="00E321BE" w:rsidP="00E321BE"/>
    <w:tbl>
      <w:tblPr>
        <w:tblW w:w="13338"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3470"/>
        <w:gridCol w:w="1080"/>
        <w:gridCol w:w="1170"/>
        <w:gridCol w:w="1440"/>
        <w:gridCol w:w="5220"/>
      </w:tblGrid>
      <w:tr w:rsidR="006D2931" w:rsidTr="006D2931">
        <w:trPr>
          <w:cantSplit/>
          <w:trHeight w:val="240"/>
          <w:tblHeader/>
        </w:trPr>
        <w:tc>
          <w:tcPr>
            <w:tcW w:w="958" w:type="dxa"/>
            <w:shd w:val="pct5" w:color="auto" w:fill="FFFFFF"/>
          </w:tcPr>
          <w:p w:rsidR="006D2931" w:rsidRDefault="006D2931" w:rsidP="00FB095D">
            <w:pPr>
              <w:pStyle w:val="TableHeader"/>
              <w:ind w:left="360" w:hanging="360"/>
            </w:pPr>
            <w:r>
              <w:t>Field #</w:t>
            </w:r>
          </w:p>
        </w:tc>
        <w:tc>
          <w:tcPr>
            <w:tcW w:w="3470" w:type="dxa"/>
            <w:shd w:val="pct5" w:color="auto" w:fill="FFFFFF"/>
          </w:tcPr>
          <w:p w:rsidR="006D2931" w:rsidRDefault="006D2931" w:rsidP="00FB095D">
            <w:pPr>
              <w:pStyle w:val="TableHeader"/>
              <w:ind w:left="360" w:hanging="360"/>
            </w:pPr>
            <w:r>
              <w:t>Field Name</w:t>
            </w:r>
          </w:p>
          <w:p w:rsidR="006D2931" w:rsidRDefault="006D2931" w:rsidP="00FB095D">
            <w:pPr>
              <w:pStyle w:val="TableHeader"/>
              <w:ind w:left="360" w:hanging="360"/>
            </w:pPr>
            <w:r>
              <w:t>(logical name)</w:t>
            </w:r>
          </w:p>
        </w:tc>
        <w:tc>
          <w:tcPr>
            <w:tcW w:w="1080" w:type="dxa"/>
            <w:tcBorders>
              <w:bottom w:val="single" w:sz="4" w:space="0" w:color="000000"/>
            </w:tcBorders>
            <w:shd w:val="pct5" w:color="auto" w:fill="FFFFFF"/>
          </w:tcPr>
          <w:p w:rsidR="006D2931" w:rsidRDefault="006D2931" w:rsidP="00FB095D">
            <w:pPr>
              <w:pStyle w:val="TableHeader"/>
            </w:pPr>
            <w:r>
              <w:t>Field Length</w:t>
            </w:r>
          </w:p>
        </w:tc>
        <w:tc>
          <w:tcPr>
            <w:tcW w:w="1170" w:type="dxa"/>
            <w:shd w:val="pct5" w:color="auto" w:fill="FFFFFF"/>
          </w:tcPr>
          <w:p w:rsidR="006D2931" w:rsidRDefault="006D2931" w:rsidP="00FB095D">
            <w:pPr>
              <w:pStyle w:val="TableHeader"/>
            </w:pPr>
            <w:r>
              <w:t>Data Type</w:t>
            </w:r>
          </w:p>
        </w:tc>
        <w:tc>
          <w:tcPr>
            <w:tcW w:w="1440" w:type="dxa"/>
            <w:shd w:val="pct5" w:color="auto" w:fill="FFFFFF"/>
          </w:tcPr>
          <w:p w:rsidR="006D2931" w:rsidRDefault="006D2931" w:rsidP="00FB095D">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220" w:type="dxa"/>
            <w:shd w:val="pct5" w:color="auto" w:fill="FFFFFF"/>
          </w:tcPr>
          <w:p w:rsidR="006D2931" w:rsidRDefault="006D2931" w:rsidP="00FB095D">
            <w:pPr>
              <w:pStyle w:val="TableHeader"/>
              <w:ind w:left="792" w:hanging="720"/>
            </w:pPr>
            <w:r>
              <w:t>Functional Description</w:t>
            </w:r>
          </w:p>
        </w:tc>
      </w:tr>
      <w:tr w:rsidR="006D2931" w:rsidTr="006D2931">
        <w:trPr>
          <w:cantSplit/>
          <w:trHeight w:val="240"/>
        </w:trPr>
        <w:tc>
          <w:tcPr>
            <w:tcW w:w="958" w:type="dxa"/>
          </w:tcPr>
          <w:p w:rsidR="006D2931" w:rsidRPr="00CE0603" w:rsidRDefault="006D2931" w:rsidP="00804128">
            <w:pPr>
              <w:pStyle w:val="Table"/>
              <w:jc w:val="center"/>
            </w:pPr>
            <w:r>
              <w:t>1</w:t>
            </w:r>
          </w:p>
        </w:tc>
        <w:tc>
          <w:tcPr>
            <w:tcW w:w="3470" w:type="dxa"/>
          </w:tcPr>
          <w:p w:rsidR="006D2931" w:rsidRPr="00CE0603" w:rsidRDefault="006D2931" w:rsidP="00CE0603">
            <w:pPr>
              <w:pStyle w:val="Table"/>
            </w:pPr>
            <w:r>
              <w:t>ZIP Code</w:t>
            </w:r>
          </w:p>
        </w:tc>
        <w:tc>
          <w:tcPr>
            <w:tcW w:w="1080" w:type="dxa"/>
            <w:tcBorders>
              <w:top w:val="single" w:sz="4" w:space="0" w:color="000000"/>
            </w:tcBorders>
            <w:shd w:val="clear" w:color="auto" w:fill="auto"/>
          </w:tcPr>
          <w:p w:rsidR="006D2931" w:rsidRDefault="006D2931" w:rsidP="00FB095D">
            <w:pPr>
              <w:pStyle w:val="Table"/>
              <w:jc w:val="center"/>
            </w:pPr>
            <w:r>
              <w:t>5</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NA</w:t>
            </w:r>
          </w:p>
        </w:tc>
        <w:tc>
          <w:tcPr>
            <w:tcW w:w="5220" w:type="dxa"/>
          </w:tcPr>
          <w:p w:rsidR="006D2931" w:rsidRPr="00FB095D" w:rsidRDefault="006D2931" w:rsidP="00FB095D">
            <w:pPr>
              <w:pStyle w:val="Table"/>
            </w:pPr>
            <w:r>
              <w:t>Postal zip code number.</w:t>
            </w:r>
          </w:p>
        </w:tc>
      </w:tr>
      <w:tr w:rsidR="006D2931" w:rsidTr="006D2931">
        <w:trPr>
          <w:cantSplit/>
          <w:trHeight w:val="240"/>
        </w:trPr>
        <w:tc>
          <w:tcPr>
            <w:tcW w:w="958" w:type="dxa"/>
          </w:tcPr>
          <w:p w:rsidR="006D2931" w:rsidRPr="00CE0603" w:rsidRDefault="006D2931" w:rsidP="00804128">
            <w:pPr>
              <w:pStyle w:val="Table"/>
              <w:jc w:val="center"/>
            </w:pPr>
            <w:r>
              <w:t>2</w:t>
            </w:r>
          </w:p>
        </w:tc>
        <w:tc>
          <w:tcPr>
            <w:tcW w:w="3470" w:type="dxa"/>
          </w:tcPr>
          <w:p w:rsidR="006D2931" w:rsidRPr="00CE0603" w:rsidRDefault="006D2931" w:rsidP="00CE0603">
            <w:pPr>
              <w:pStyle w:val="Table"/>
            </w:pPr>
            <w:r>
              <w:t>City</w:t>
            </w:r>
          </w:p>
        </w:tc>
        <w:tc>
          <w:tcPr>
            <w:tcW w:w="1080" w:type="dxa"/>
          </w:tcPr>
          <w:p w:rsidR="006D2931" w:rsidRDefault="006D2931" w:rsidP="00FB095D">
            <w:pPr>
              <w:pStyle w:val="Table"/>
              <w:jc w:val="center"/>
            </w:pPr>
            <w:r>
              <w:t>20</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NA</w:t>
            </w:r>
          </w:p>
        </w:tc>
        <w:tc>
          <w:tcPr>
            <w:tcW w:w="5220" w:type="dxa"/>
          </w:tcPr>
          <w:p w:rsidR="006D2931" w:rsidRPr="00FB095D" w:rsidRDefault="006D2931" w:rsidP="00FB095D">
            <w:pPr>
              <w:pStyle w:val="Table"/>
            </w:pPr>
            <w:r>
              <w:t>The text name of a city.</w:t>
            </w:r>
          </w:p>
        </w:tc>
      </w:tr>
      <w:tr w:rsidR="006D2931" w:rsidTr="006D2931">
        <w:trPr>
          <w:cantSplit/>
          <w:trHeight w:val="240"/>
        </w:trPr>
        <w:tc>
          <w:tcPr>
            <w:tcW w:w="958" w:type="dxa"/>
          </w:tcPr>
          <w:p w:rsidR="006D2931" w:rsidRPr="00CE0603" w:rsidRDefault="006D2931" w:rsidP="00804128">
            <w:pPr>
              <w:pStyle w:val="Table"/>
              <w:jc w:val="center"/>
            </w:pPr>
            <w:r>
              <w:t>3</w:t>
            </w:r>
          </w:p>
        </w:tc>
        <w:tc>
          <w:tcPr>
            <w:tcW w:w="3470" w:type="dxa"/>
          </w:tcPr>
          <w:p w:rsidR="006D2931" w:rsidRPr="00CE0603" w:rsidRDefault="006D2931" w:rsidP="00CE0603">
            <w:pPr>
              <w:pStyle w:val="Table"/>
            </w:pPr>
            <w:r>
              <w:t>State</w:t>
            </w:r>
          </w:p>
        </w:tc>
        <w:tc>
          <w:tcPr>
            <w:tcW w:w="1080" w:type="dxa"/>
          </w:tcPr>
          <w:p w:rsidR="006D2931" w:rsidRDefault="006D2931" w:rsidP="00FB095D">
            <w:pPr>
              <w:pStyle w:val="Table"/>
              <w:jc w:val="center"/>
            </w:pPr>
            <w:r>
              <w:t>2</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NA</w:t>
            </w:r>
          </w:p>
        </w:tc>
        <w:tc>
          <w:tcPr>
            <w:tcW w:w="5220" w:type="dxa"/>
          </w:tcPr>
          <w:p w:rsidR="006D2931" w:rsidRPr="00FB095D" w:rsidRDefault="006D2931" w:rsidP="00FB095D">
            <w:pPr>
              <w:pStyle w:val="Table"/>
            </w:pPr>
            <w:r>
              <w:t xml:space="preserve">The two-character abbreviation of a state within the </w:t>
            </w:r>
            <w:smartTag w:uri="urn:schemas-microsoft-com:office:smarttags" w:element="country-region">
              <w:smartTag w:uri="urn:schemas-microsoft-com:office:smarttags" w:element="place">
                <w:r>
                  <w:t>United States</w:t>
                </w:r>
              </w:smartTag>
            </w:smartTag>
            <w:r>
              <w:t>.</w:t>
            </w:r>
          </w:p>
        </w:tc>
      </w:tr>
      <w:tr w:rsidR="006D2931" w:rsidTr="006D2931">
        <w:trPr>
          <w:cantSplit/>
          <w:trHeight w:val="240"/>
        </w:trPr>
        <w:tc>
          <w:tcPr>
            <w:tcW w:w="958" w:type="dxa"/>
          </w:tcPr>
          <w:p w:rsidR="006D2931" w:rsidRPr="00CE0603" w:rsidRDefault="006D2931" w:rsidP="00804128">
            <w:pPr>
              <w:pStyle w:val="Table"/>
              <w:jc w:val="center"/>
            </w:pPr>
            <w:r>
              <w:t>4</w:t>
            </w:r>
          </w:p>
        </w:tc>
        <w:tc>
          <w:tcPr>
            <w:tcW w:w="3470" w:type="dxa"/>
          </w:tcPr>
          <w:p w:rsidR="006D2931" w:rsidRPr="00CE0603" w:rsidRDefault="006D2931" w:rsidP="00CE0603">
            <w:pPr>
              <w:pStyle w:val="Table"/>
            </w:pPr>
            <w:r>
              <w:t>TRICARE Region</w:t>
            </w:r>
          </w:p>
        </w:tc>
        <w:tc>
          <w:tcPr>
            <w:tcW w:w="1080" w:type="dxa"/>
          </w:tcPr>
          <w:p w:rsidR="006D2931" w:rsidRDefault="006D2931" w:rsidP="00FB095D">
            <w:pPr>
              <w:pStyle w:val="Table"/>
              <w:jc w:val="center"/>
            </w:pPr>
            <w:r>
              <w:t>2</w:t>
            </w:r>
          </w:p>
        </w:tc>
        <w:tc>
          <w:tcPr>
            <w:tcW w:w="1170" w:type="dxa"/>
          </w:tcPr>
          <w:p w:rsidR="006D2931" w:rsidRDefault="006D2931" w:rsidP="00FB095D">
            <w:pPr>
              <w:pStyle w:val="Table"/>
            </w:pPr>
            <w:r>
              <w:t>A-numeric</w:t>
            </w:r>
          </w:p>
        </w:tc>
        <w:tc>
          <w:tcPr>
            <w:tcW w:w="1440" w:type="dxa"/>
          </w:tcPr>
          <w:p w:rsidR="006D2931" w:rsidRPr="0046270F" w:rsidRDefault="006D2931" w:rsidP="00B75976">
            <w:pPr>
              <w:pStyle w:val="Table"/>
              <w:rPr>
                <w:lang w:val="pt-BR"/>
              </w:rPr>
            </w:pPr>
            <w:r w:rsidRPr="0046270F">
              <w:rPr>
                <w:lang w:val="pt-BR"/>
              </w:rPr>
              <w:t>14, 15</w:t>
            </w:r>
            <w:r>
              <w:rPr>
                <w:lang w:val="pt-BR"/>
              </w:rPr>
              <w:t>, 17, 18, 19</w:t>
            </w:r>
          </w:p>
        </w:tc>
        <w:tc>
          <w:tcPr>
            <w:tcW w:w="5220" w:type="dxa"/>
          </w:tcPr>
          <w:p w:rsidR="006D2931" w:rsidRDefault="006D2931" w:rsidP="0046270F">
            <w:pPr>
              <w:pStyle w:val="Table"/>
            </w:pPr>
            <w:r>
              <w:t>The code that represents a geographical region (health Services Region) of the military health system.</w:t>
            </w:r>
          </w:p>
          <w:p w:rsidR="006D2931" w:rsidRPr="00747FA6" w:rsidRDefault="006D2931" w:rsidP="0046270F">
            <w:pPr>
              <w:pStyle w:val="Table"/>
              <w:rPr>
                <w:lang w:val="it-IT"/>
              </w:rPr>
            </w:pPr>
            <w:r w:rsidRPr="00747FA6">
              <w:rPr>
                <w:lang w:val="it-IT"/>
              </w:rPr>
              <w:t>14</w:t>
            </w:r>
            <w:r w:rsidRPr="00747FA6">
              <w:rPr>
                <w:lang w:val="it-IT"/>
              </w:rPr>
              <w:tab/>
              <w:t>Pacific TRICARE Prime</w:t>
            </w:r>
          </w:p>
          <w:p w:rsidR="006D2931" w:rsidRDefault="006D2931" w:rsidP="0046270F">
            <w:pPr>
              <w:pStyle w:val="Table"/>
            </w:pPr>
            <w:r>
              <w:t>15</w:t>
            </w:r>
            <w:r>
              <w:tab/>
              <w:t>Latin America/Canada TRICARE Prime</w:t>
            </w:r>
          </w:p>
          <w:p w:rsidR="006D2931" w:rsidRDefault="006D2931" w:rsidP="0046270F">
            <w:pPr>
              <w:pStyle w:val="Table"/>
            </w:pPr>
            <w:r>
              <w:t>17</w:t>
            </w:r>
            <w:r>
              <w:tab/>
              <w:t>TRICARE North</w:t>
            </w:r>
          </w:p>
          <w:p w:rsidR="006D2931" w:rsidRDefault="006D2931" w:rsidP="006D2931">
            <w:pPr>
              <w:pStyle w:val="Table"/>
              <w:ind w:left="720" w:hanging="720"/>
            </w:pPr>
            <w:r>
              <w:t>18</w:t>
            </w:r>
            <w:r>
              <w:tab/>
              <w:t>TRICARE South</w:t>
            </w:r>
          </w:p>
          <w:p w:rsidR="006D2931" w:rsidRPr="0046270F" w:rsidRDefault="006D2931" w:rsidP="0046270F">
            <w:pPr>
              <w:pStyle w:val="Table"/>
            </w:pPr>
            <w:r>
              <w:t>19</w:t>
            </w:r>
            <w:r>
              <w:tab/>
              <w:t>TRICARE West</w:t>
            </w:r>
          </w:p>
        </w:tc>
      </w:tr>
      <w:tr w:rsidR="006D2931" w:rsidTr="006D2931">
        <w:trPr>
          <w:cantSplit/>
          <w:trHeight w:val="240"/>
        </w:trPr>
        <w:tc>
          <w:tcPr>
            <w:tcW w:w="958" w:type="dxa"/>
          </w:tcPr>
          <w:p w:rsidR="006D2931" w:rsidRPr="00CE0603" w:rsidRDefault="006D2931" w:rsidP="00804128">
            <w:pPr>
              <w:pStyle w:val="Table"/>
              <w:jc w:val="center"/>
            </w:pPr>
            <w:r>
              <w:t>5</w:t>
            </w:r>
          </w:p>
        </w:tc>
        <w:tc>
          <w:tcPr>
            <w:tcW w:w="3470" w:type="dxa"/>
          </w:tcPr>
          <w:p w:rsidR="006D2931" w:rsidRPr="00CE0603" w:rsidRDefault="006D2931" w:rsidP="00CE0603">
            <w:pPr>
              <w:pStyle w:val="Table"/>
            </w:pPr>
            <w:r>
              <w:t>Current ZIP Code Flag</w:t>
            </w:r>
          </w:p>
        </w:tc>
        <w:tc>
          <w:tcPr>
            <w:tcW w:w="1080" w:type="dxa"/>
          </w:tcPr>
          <w:p w:rsidR="006D2931" w:rsidRDefault="006D2931" w:rsidP="00FB095D">
            <w:pPr>
              <w:pStyle w:val="Table"/>
              <w:jc w:val="center"/>
            </w:pPr>
            <w:r>
              <w:t>1</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0, 1</w:t>
            </w:r>
          </w:p>
        </w:tc>
        <w:tc>
          <w:tcPr>
            <w:tcW w:w="5220" w:type="dxa"/>
          </w:tcPr>
          <w:p w:rsidR="006D2931" w:rsidRDefault="006D2931" w:rsidP="0046270F">
            <w:pPr>
              <w:pStyle w:val="Table"/>
            </w:pPr>
            <w:r>
              <w:t>Validity of the ZIP Code according to the US Postal Service. Coded as follows:</w:t>
            </w:r>
          </w:p>
          <w:p w:rsidR="006D2931" w:rsidRDefault="006D2931" w:rsidP="0046270F">
            <w:pPr>
              <w:pStyle w:val="Table"/>
            </w:pPr>
            <w:r>
              <w:t>0</w:t>
            </w:r>
            <w:r>
              <w:tab/>
              <w:t>Not valid</w:t>
            </w:r>
          </w:p>
          <w:p w:rsidR="006D2931" w:rsidRPr="0046270F" w:rsidRDefault="006D2931" w:rsidP="0046270F">
            <w:pPr>
              <w:pStyle w:val="Table"/>
            </w:pPr>
            <w:r>
              <w:t>1</w:t>
            </w:r>
            <w:r>
              <w:tab/>
              <w:t>Valid</w:t>
            </w:r>
          </w:p>
        </w:tc>
      </w:tr>
      <w:tr w:rsidR="006D2931" w:rsidTr="006D2931">
        <w:trPr>
          <w:cantSplit/>
          <w:trHeight w:val="240"/>
        </w:trPr>
        <w:tc>
          <w:tcPr>
            <w:tcW w:w="958" w:type="dxa"/>
          </w:tcPr>
          <w:p w:rsidR="006D2931" w:rsidRPr="00CE0603" w:rsidRDefault="006D2931" w:rsidP="00804128">
            <w:pPr>
              <w:pStyle w:val="Table"/>
              <w:jc w:val="center"/>
            </w:pPr>
            <w:r>
              <w:t>6</w:t>
            </w:r>
          </w:p>
        </w:tc>
        <w:tc>
          <w:tcPr>
            <w:tcW w:w="3470" w:type="dxa"/>
          </w:tcPr>
          <w:p w:rsidR="006D2931" w:rsidRPr="00CE0603" w:rsidRDefault="006D2931" w:rsidP="00CE0603">
            <w:pPr>
              <w:pStyle w:val="Table"/>
            </w:pPr>
            <w:r>
              <w:t>USFHP</w:t>
            </w:r>
          </w:p>
        </w:tc>
        <w:tc>
          <w:tcPr>
            <w:tcW w:w="1080" w:type="dxa"/>
          </w:tcPr>
          <w:p w:rsidR="006D2931" w:rsidRDefault="006D2931" w:rsidP="00FB095D">
            <w:pPr>
              <w:pStyle w:val="Table"/>
              <w:jc w:val="center"/>
            </w:pPr>
            <w:r>
              <w:t>1</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0, 1</w:t>
            </w:r>
          </w:p>
        </w:tc>
        <w:tc>
          <w:tcPr>
            <w:tcW w:w="5220" w:type="dxa"/>
          </w:tcPr>
          <w:p w:rsidR="006D2931" w:rsidRDefault="006D2931" w:rsidP="0046270F">
            <w:pPr>
              <w:pStyle w:val="Table"/>
            </w:pPr>
            <w:r>
              <w:t>ZIP Code eligibility for the Uniformed Services Family Health Program (USFHP). Coded as follows:</w:t>
            </w:r>
          </w:p>
          <w:p w:rsidR="006D2931" w:rsidRDefault="006D2931" w:rsidP="0046270F">
            <w:pPr>
              <w:pStyle w:val="Table"/>
            </w:pPr>
            <w:r>
              <w:t>0</w:t>
            </w:r>
            <w:r>
              <w:tab/>
              <w:t>Not eligible</w:t>
            </w:r>
          </w:p>
          <w:p w:rsidR="006D2931" w:rsidRPr="0046270F" w:rsidRDefault="006D2931" w:rsidP="0046270F">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7</w:t>
            </w:r>
          </w:p>
        </w:tc>
        <w:tc>
          <w:tcPr>
            <w:tcW w:w="3470" w:type="dxa"/>
          </w:tcPr>
          <w:p w:rsidR="006D2931" w:rsidRPr="00CE0603" w:rsidRDefault="006D2931" w:rsidP="00CE0603">
            <w:pPr>
              <w:pStyle w:val="Table"/>
            </w:pPr>
            <w:r>
              <w:t>Senior Prime</w:t>
            </w:r>
          </w:p>
        </w:tc>
        <w:tc>
          <w:tcPr>
            <w:tcW w:w="1080" w:type="dxa"/>
          </w:tcPr>
          <w:p w:rsidR="006D2931" w:rsidRDefault="006D2931" w:rsidP="00B75976">
            <w:pPr>
              <w:pStyle w:val="Table"/>
              <w:jc w:val="center"/>
            </w:pPr>
            <w:r>
              <w:t>1</w:t>
            </w:r>
          </w:p>
        </w:tc>
        <w:tc>
          <w:tcPr>
            <w:tcW w:w="1170" w:type="dxa"/>
          </w:tcPr>
          <w:p w:rsidR="006D2931" w:rsidRDefault="006D2931" w:rsidP="00B75976">
            <w:pPr>
              <w:pStyle w:val="Table"/>
            </w:pPr>
            <w:r>
              <w:t>A-numeric</w:t>
            </w:r>
          </w:p>
        </w:tc>
        <w:tc>
          <w:tcPr>
            <w:tcW w:w="1440" w:type="dxa"/>
          </w:tcPr>
          <w:p w:rsidR="006D2931" w:rsidRDefault="006D2931" w:rsidP="00B75976">
            <w:pPr>
              <w:pStyle w:val="Table"/>
            </w:pPr>
            <w:r>
              <w:t>0, 1</w:t>
            </w:r>
          </w:p>
        </w:tc>
        <w:tc>
          <w:tcPr>
            <w:tcW w:w="5220" w:type="dxa"/>
          </w:tcPr>
          <w:p w:rsidR="006D2931" w:rsidRDefault="006D2931" w:rsidP="00B75976">
            <w:pPr>
              <w:pStyle w:val="Table"/>
            </w:pPr>
            <w:r>
              <w:t>ZIP Code eligibility for the Senior Prime health program. Coded as follows:</w:t>
            </w:r>
          </w:p>
          <w:p w:rsidR="006D2931" w:rsidRDefault="006D2931" w:rsidP="00B75976">
            <w:pPr>
              <w:pStyle w:val="Table"/>
            </w:pPr>
            <w:r>
              <w:t>0</w:t>
            </w:r>
            <w:r>
              <w:tab/>
              <w:t>Not eligible</w:t>
            </w:r>
          </w:p>
          <w:p w:rsidR="006D2931" w:rsidRPr="0046270F" w:rsidRDefault="006D2931" w:rsidP="00B75976">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8</w:t>
            </w:r>
          </w:p>
        </w:tc>
        <w:tc>
          <w:tcPr>
            <w:tcW w:w="3470" w:type="dxa"/>
          </w:tcPr>
          <w:p w:rsidR="006D2931" w:rsidRPr="00CE0603" w:rsidRDefault="006D2931" w:rsidP="00CE0603">
            <w:pPr>
              <w:pStyle w:val="Table"/>
            </w:pPr>
            <w:r>
              <w:t>Complete Prime Remote</w:t>
            </w:r>
          </w:p>
        </w:tc>
        <w:tc>
          <w:tcPr>
            <w:tcW w:w="1080" w:type="dxa"/>
          </w:tcPr>
          <w:p w:rsidR="006D2931" w:rsidRDefault="006D2931" w:rsidP="00B75976">
            <w:pPr>
              <w:pStyle w:val="Table"/>
              <w:jc w:val="center"/>
            </w:pPr>
            <w:r>
              <w:t>1</w:t>
            </w:r>
          </w:p>
        </w:tc>
        <w:tc>
          <w:tcPr>
            <w:tcW w:w="1170" w:type="dxa"/>
          </w:tcPr>
          <w:p w:rsidR="006D2931" w:rsidRDefault="006D2931" w:rsidP="00B75976">
            <w:pPr>
              <w:pStyle w:val="Table"/>
            </w:pPr>
            <w:r>
              <w:t>A-numeric</w:t>
            </w:r>
          </w:p>
        </w:tc>
        <w:tc>
          <w:tcPr>
            <w:tcW w:w="1440" w:type="dxa"/>
          </w:tcPr>
          <w:p w:rsidR="006D2931" w:rsidRDefault="006D2931" w:rsidP="00B75976">
            <w:pPr>
              <w:pStyle w:val="Table"/>
            </w:pPr>
            <w:r>
              <w:t>0, 1</w:t>
            </w:r>
          </w:p>
        </w:tc>
        <w:tc>
          <w:tcPr>
            <w:tcW w:w="5220" w:type="dxa"/>
          </w:tcPr>
          <w:p w:rsidR="006D2931" w:rsidRDefault="006D2931" w:rsidP="00B75976">
            <w:pPr>
              <w:pStyle w:val="Table"/>
            </w:pPr>
            <w:r>
              <w:t>ZIP Code eligibility for the Complete Prime Remote health program. Coded as follows:</w:t>
            </w:r>
          </w:p>
          <w:p w:rsidR="006D2931" w:rsidRDefault="006D2931" w:rsidP="00B75976">
            <w:pPr>
              <w:pStyle w:val="Table"/>
            </w:pPr>
            <w:r>
              <w:t>0</w:t>
            </w:r>
            <w:r>
              <w:tab/>
              <w:t>Not eligible</w:t>
            </w:r>
          </w:p>
          <w:p w:rsidR="006D2931" w:rsidRPr="0046270F" w:rsidRDefault="006D2931" w:rsidP="00B75976">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lastRenderedPageBreak/>
              <w:t>9</w:t>
            </w:r>
          </w:p>
        </w:tc>
        <w:tc>
          <w:tcPr>
            <w:tcW w:w="3470" w:type="dxa"/>
          </w:tcPr>
          <w:p w:rsidR="006D2931" w:rsidRPr="00CE0603" w:rsidRDefault="006D2931" w:rsidP="00CE0603">
            <w:pPr>
              <w:pStyle w:val="Table"/>
            </w:pPr>
            <w:r>
              <w:t>Remote Active Duty Dental</w:t>
            </w:r>
          </w:p>
        </w:tc>
        <w:tc>
          <w:tcPr>
            <w:tcW w:w="1080" w:type="dxa"/>
          </w:tcPr>
          <w:p w:rsidR="006D2931" w:rsidRDefault="006D2931" w:rsidP="00160EBD">
            <w:pPr>
              <w:pStyle w:val="Table"/>
              <w:jc w:val="center"/>
            </w:pPr>
            <w:r>
              <w:t>1</w:t>
            </w:r>
          </w:p>
        </w:tc>
        <w:tc>
          <w:tcPr>
            <w:tcW w:w="1170" w:type="dxa"/>
          </w:tcPr>
          <w:p w:rsidR="006D2931" w:rsidRDefault="006D2931" w:rsidP="00160EBD">
            <w:pPr>
              <w:pStyle w:val="Table"/>
            </w:pPr>
            <w:r>
              <w:t>A-numeric</w:t>
            </w:r>
          </w:p>
        </w:tc>
        <w:tc>
          <w:tcPr>
            <w:tcW w:w="1440" w:type="dxa"/>
          </w:tcPr>
          <w:p w:rsidR="006D2931" w:rsidRDefault="006D2931" w:rsidP="00160EBD">
            <w:pPr>
              <w:pStyle w:val="Table"/>
            </w:pPr>
            <w:r>
              <w:t>0, 1</w:t>
            </w:r>
          </w:p>
        </w:tc>
        <w:tc>
          <w:tcPr>
            <w:tcW w:w="5220" w:type="dxa"/>
          </w:tcPr>
          <w:p w:rsidR="006D2931" w:rsidRDefault="006D2931" w:rsidP="00160EBD">
            <w:pPr>
              <w:pStyle w:val="Table"/>
            </w:pPr>
            <w:r>
              <w:t>ZIP Code eligibility for the Remote Active Duty Dental health program. Coded as follows:</w:t>
            </w:r>
          </w:p>
          <w:p w:rsidR="006D2931" w:rsidRDefault="006D2931" w:rsidP="00160EBD">
            <w:pPr>
              <w:pStyle w:val="Table"/>
            </w:pPr>
            <w:r>
              <w:t>0</w:t>
            </w:r>
            <w:r>
              <w:tab/>
              <w:t>Not eligible</w:t>
            </w:r>
          </w:p>
          <w:p w:rsidR="006D2931" w:rsidRPr="0046270F" w:rsidRDefault="006D2931" w:rsidP="00160EBD">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10</w:t>
            </w:r>
          </w:p>
        </w:tc>
        <w:tc>
          <w:tcPr>
            <w:tcW w:w="3470" w:type="dxa"/>
          </w:tcPr>
          <w:p w:rsidR="006D2931" w:rsidRPr="00CE0603" w:rsidRDefault="006D2931" w:rsidP="00CE0603">
            <w:pPr>
              <w:pStyle w:val="Table"/>
            </w:pPr>
            <w:r>
              <w:t>FEHBP</w:t>
            </w:r>
          </w:p>
        </w:tc>
        <w:tc>
          <w:tcPr>
            <w:tcW w:w="1080" w:type="dxa"/>
          </w:tcPr>
          <w:p w:rsidR="006D2931" w:rsidRDefault="006D2931" w:rsidP="00160EBD">
            <w:pPr>
              <w:pStyle w:val="Table"/>
              <w:jc w:val="center"/>
            </w:pPr>
            <w:r>
              <w:t>1</w:t>
            </w:r>
          </w:p>
        </w:tc>
        <w:tc>
          <w:tcPr>
            <w:tcW w:w="1170" w:type="dxa"/>
          </w:tcPr>
          <w:p w:rsidR="006D2931" w:rsidRDefault="006D2931" w:rsidP="00160EBD">
            <w:pPr>
              <w:pStyle w:val="Table"/>
            </w:pPr>
            <w:r>
              <w:t>A-numeric</w:t>
            </w:r>
          </w:p>
        </w:tc>
        <w:tc>
          <w:tcPr>
            <w:tcW w:w="1440" w:type="dxa"/>
          </w:tcPr>
          <w:p w:rsidR="006D2931" w:rsidRDefault="006D2931" w:rsidP="00160EBD">
            <w:pPr>
              <w:pStyle w:val="Table"/>
            </w:pPr>
            <w:r>
              <w:t>0, 1</w:t>
            </w:r>
          </w:p>
        </w:tc>
        <w:tc>
          <w:tcPr>
            <w:tcW w:w="5220" w:type="dxa"/>
          </w:tcPr>
          <w:p w:rsidR="006D2931" w:rsidRDefault="006D2931" w:rsidP="00160EBD">
            <w:pPr>
              <w:pStyle w:val="Table"/>
            </w:pPr>
            <w:r>
              <w:t>ZIP Code eligibility for the Federal Employee Health Benefit Program (FEHBP). Coded as follows:</w:t>
            </w:r>
          </w:p>
          <w:p w:rsidR="006D2931" w:rsidRDefault="006D2931" w:rsidP="00160EBD">
            <w:pPr>
              <w:pStyle w:val="Table"/>
            </w:pPr>
            <w:r>
              <w:t>0</w:t>
            </w:r>
            <w:r>
              <w:tab/>
              <w:t>Not eligible</w:t>
            </w:r>
          </w:p>
          <w:p w:rsidR="006D2931" w:rsidRPr="0046270F" w:rsidRDefault="006D2931" w:rsidP="00160EBD">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11</w:t>
            </w:r>
          </w:p>
        </w:tc>
        <w:tc>
          <w:tcPr>
            <w:tcW w:w="3470" w:type="dxa"/>
          </w:tcPr>
          <w:p w:rsidR="006D2931" w:rsidRPr="00CE0603" w:rsidRDefault="006D2931" w:rsidP="00CE0603">
            <w:pPr>
              <w:pStyle w:val="Table"/>
            </w:pPr>
            <w:r>
              <w:t>Pharmacy Redesign Pilot</w:t>
            </w:r>
          </w:p>
        </w:tc>
        <w:tc>
          <w:tcPr>
            <w:tcW w:w="1080" w:type="dxa"/>
          </w:tcPr>
          <w:p w:rsidR="006D2931" w:rsidRDefault="006D2931" w:rsidP="00160EBD">
            <w:pPr>
              <w:pStyle w:val="Table"/>
              <w:jc w:val="center"/>
            </w:pPr>
            <w:r>
              <w:t>1</w:t>
            </w:r>
          </w:p>
        </w:tc>
        <w:tc>
          <w:tcPr>
            <w:tcW w:w="1170" w:type="dxa"/>
          </w:tcPr>
          <w:p w:rsidR="006D2931" w:rsidRDefault="006D2931" w:rsidP="00160EBD">
            <w:pPr>
              <w:pStyle w:val="Table"/>
            </w:pPr>
            <w:r>
              <w:t>A-numeric</w:t>
            </w:r>
          </w:p>
        </w:tc>
        <w:tc>
          <w:tcPr>
            <w:tcW w:w="1440" w:type="dxa"/>
          </w:tcPr>
          <w:p w:rsidR="006D2931" w:rsidRDefault="006D2931" w:rsidP="00160EBD">
            <w:pPr>
              <w:pStyle w:val="Table"/>
            </w:pPr>
            <w:r>
              <w:t>0, 1</w:t>
            </w:r>
          </w:p>
        </w:tc>
        <w:tc>
          <w:tcPr>
            <w:tcW w:w="5220" w:type="dxa"/>
          </w:tcPr>
          <w:p w:rsidR="006D2931" w:rsidRDefault="006D2931" w:rsidP="00160EBD">
            <w:pPr>
              <w:pStyle w:val="Table"/>
            </w:pPr>
            <w:r>
              <w:t>ZIP Code eligibility for the Pharmacy Redesign Pilot health program. Coded as follows:</w:t>
            </w:r>
          </w:p>
          <w:p w:rsidR="006D2931" w:rsidRDefault="006D2931" w:rsidP="00160EBD">
            <w:pPr>
              <w:pStyle w:val="Table"/>
            </w:pPr>
            <w:r>
              <w:t>0</w:t>
            </w:r>
            <w:r>
              <w:tab/>
              <w:t>Not eligible</w:t>
            </w:r>
          </w:p>
          <w:p w:rsidR="006D2931" w:rsidRPr="0046270F" w:rsidRDefault="006D2931" w:rsidP="00160EBD">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12</w:t>
            </w:r>
          </w:p>
        </w:tc>
        <w:tc>
          <w:tcPr>
            <w:tcW w:w="3470" w:type="dxa"/>
          </w:tcPr>
          <w:p w:rsidR="006D2931" w:rsidRPr="00CE0603" w:rsidRDefault="006D2931" w:rsidP="00CE0603">
            <w:pPr>
              <w:pStyle w:val="Table"/>
            </w:pPr>
            <w:r>
              <w:t>BRAC Pharmacy</w:t>
            </w:r>
          </w:p>
        </w:tc>
        <w:tc>
          <w:tcPr>
            <w:tcW w:w="1080" w:type="dxa"/>
          </w:tcPr>
          <w:p w:rsidR="006D2931" w:rsidRDefault="006D2931" w:rsidP="00160EBD">
            <w:pPr>
              <w:pStyle w:val="Table"/>
              <w:jc w:val="center"/>
            </w:pPr>
            <w:r>
              <w:t>1</w:t>
            </w:r>
          </w:p>
        </w:tc>
        <w:tc>
          <w:tcPr>
            <w:tcW w:w="1170" w:type="dxa"/>
          </w:tcPr>
          <w:p w:rsidR="006D2931" w:rsidRDefault="006D2931" w:rsidP="00160EBD">
            <w:pPr>
              <w:pStyle w:val="Table"/>
            </w:pPr>
            <w:r>
              <w:t>A-numeric</w:t>
            </w:r>
          </w:p>
        </w:tc>
        <w:tc>
          <w:tcPr>
            <w:tcW w:w="1440" w:type="dxa"/>
          </w:tcPr>
          <w:p w:rsidR="006D2931" w:rsidRDefault="006D2931" w:rsidP="00160EBD">
            <w:pPr>
              <w:pStyle w:val="Table"/>
            </w:pPr>
            <w:r>
              <w:t>0, 1</w:t>
            </w:r>
          </w:p>
        </w:tc>
        <w:tc>
          <w:tcPr>
            <w:tcW w:w="5220" w:type="dxa"/>
          </w:tcPr>
          <w:p w:rsidR="006D2931" w:rsidRDefault="006D2931" w:rsidP="00160EBD">
            <w:pPr>
              <w:pStyle w:val="Table"/>
            </w:pPr>
            <w:r>
              <w:t>ZIP Code eligibility for the Base Realignment And Closure (BRAC) Pharmacy program. Coded as follows:</w:t>
            </w:r>
          </w:p>
          <w:p w:rsidR="006D2931" w:rsidRDefault="006D2931" w:rsidP="00160EBD">
            <w:pPr>
              <w:pStyle w:val="Table"/>
            </w:pPr>
            <w:r>
              <w:t>0</w:t>
            </w:r>
            <w:r>
              <w:tab/>
              <w:t>Not eligible</w:t>
            </w:r>
          </w:p>
          <w:p w:rsidR="006D2931" w:rsidRPr="0046270F" w:rsidRDefault="006D2931" w:rsidP="00160EBD">
            <w:pPr>
              <w:pStyle w:val="Table"/>
            </w:pPr>
            <w:r>
              <w:t>1</w:t>
            </w:r>
            <w:r>
              <w:tab/>
              <w:t>Eligible</w:t>
            </w:r>
          </w:p>
        </w:tc>
      </w:tr>
      <w:tr w:rsidR="006D2931" w:rsidTr="006D2931">
        <w:trPr>
          <w:cantSplit/>
          <w:trHeight w:val="240"/>
        </w:trPr>
        <w:tc>
          <w:tcPr>
            <w:tcW w:w="958" w:type="dxa"/>
          </w:tcPr>
          <w:p w:rsidR="006D2931" w:rsidRPr="00CE0603" w:rsidRDefault="006D2931" w:rsidP="00804128">
            <w:pPr>
              <w:pStyle w:val="Table"/>
              <w:jc w:val="center"/>
            </w:pPr>
            <w:r>
              <w:t>13</w:t>
            </w:r>
          </w:p>
        </w:tc>
        <w:tc>
          <w:tcPr>
            <w:tcW w:w="3470" w:type="dxa"/>
          </w:tcPr>
          <w:p w:rsidR="006D2931" w:rsidRPr="00CE0603" w:rsidRDefault="006D2931" w:rsidP="00CE0603">
            <w:pPr>
              <w:pStyle w:val="Table"/>
            </w:pPr>
            <w:r>
              <w:t>Filler</w:t>
            </w:r>
          </w:p>
        </w:tc>
        <w:tc>
          <w:tcPr>
            <w:tcW w:w="1080" w:type="dxa"/>
          </w:tcPr>
          <w:p w:rsidR="006D2931" w:rsidRDefault="006D2931" w:rsidP="00FB095D">
            <w:pPr>
              <w:pStyle w:val="Table"/>
              <w:jc w:val="center"/>
            </w:pPr>
            <w:r>
              <w:t>1</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None</w:t>
            </w:r>
          </w:p>
        </w:tc>
        <w:tc>
          <w:tcPr>
            <w:tcW w:w="5220" w:type="dxa"/>
          </w:tcPr>
          <w:p w:rsidR="006D2931" w:rsidRDefault="006D2931" w:rsidP="00FB095D">
            <w:pPr>
              <w:pStyle w:val="Table"/>
            </w:pPr>
            <w:r>
              <w:t>Field that serves as a filler between record fields.</w:t>
            </w:r>
          </w:p>
        </w:tc>
      </w:tr>
      <w:tr w:rsidR="006D2931" w:rsidTr="006D2931">
        <w:trPr>
          <w:cantSplit/>
          <w:trHeight w:val="240"/>
        </w:trPr>
        <w:tc>
          <w:tcPr>
            <w:tcW w:w="958" w:type="dxa"/>
          </w:tcPr>
          <w:p w:rsidR="006D2931" w:rsidRPr="00CE0603" w:rsidRDefault="006D2931" w:rsidP="00804128">
            <w:pPr>
              <w:pStyle w:val="Table"/>
              <w:jc w:val="center"/>
            </w:pPr>
            <w:r>
              <w:t>14</w:t>
            </w:r>
          </w:p>
        </w:tc>
        <w:tc>
          <w:tcPr>
            <w:tcW w:w="3470" w:type="dxa"/>
          </w:tcPr>
          <w:p w:rsidR="006D2931" w:rsidRPr="00CE0603" w:rsidRDefault="006D2931" w:rsidP="00CE0603">
            <w:pPr>
              <w:pStyle w:val="Table"/>
            </w:pPr>
            <w:r>
              <w:t>Filler</w:t>
            </w:r>
          </w:p>
        </w:tc>
        <w:tc>
          <w:tcPr>
            <w:tcW w:w="1080" w:type="dxa"/>
          </w:tcPr>
          <w:p w:rsidR="006D2931" w:rsidRDefault="006D2931" w:rsidP="00FB095D">
            <w:pPr>
              <w:pStyle w:val="Table"/>
              <w:jc w:val="center"/>
            </w:pPr>
            <w:r>
              <w:t>1</w:t>
            </w:r>
          </w:p>
        </w:tc>
        <w:tc>
          <w:tcPr>
            <w:tcW w:w="1170" w:type="dxa"/>
          </w:tcPr>
          <w:p w:rsidR="006D2931" w:rsidRDefault="006D2931" w:rsidP="00160EBD">
            <w:pPr>
              <w:pStyle w:val="Table"/>
            </w:pPr>
            <w:r>
              <w:t>A-numeric</w:t>
            </w:r>
          </w:p>
        </w:tc>
        <w:tc>
          <w:tcPr>
            <w:tcW w:w="1440" w:type="dxa"/>
          </w:tcPr>
          <w:p w:rsidR="006D2931" w:rsidRDefault="006D2931" w:rsidP="00160EBD">
            <w:pPr>
              <w:pStyle w:val="Table"/>
            </w:pPr>
            <w:r>
              <w:t>None</w:t>
            </w:r>
          </w:p>
        </w:tc>
        <w:tc>
          <w:tcPr>
            <w:tcW w:w="5220" w:type="dxa"/>
          </w:tcPr>
          <w:p w:rsidR="006D2931" w:rsidRDefault="006D2931" w:rsidP="00160EBD">
            <w:pPr>
              <w:pStyle w:val="Table"/>
            </w:pPr>
            <w:r>
              <w:t>Field that serves as a filler between record fields.</w:t>
            </w:r>
          </w:p>
        </w:tc>
      </w:tr>
      <w:tr w:rsidR="006D2931" w:rsidTr="006D2931">
        <w:trPr>
          <w:cantSplit/>
          <w:trHeight w:val="240"/>
        </w:trPr>
        <w:tc>
          <w:tcPr>
            <w:tcW w:w="958" w:type="dxa"/>
          </w:tcPr>
          <w:p w:rsidR="006D2931" w:rsidRPr="00CE0603" w:rsidRDefault="006D2931" w:rsidP="00804128">
            <w:pPr>
              <w:pStyle w:val="Table"/>
              <w:jc w:val="center"/>
            </w:pPr>
            <w:r>
              <w:t>15</w:t>
            </w:r>
          </w:p>
        </w:tc>
        <w:tc>
          <w:tcPr>
            <w:tcW w:w="3470" w:type="dxa"/>
          </w:tcPr>
          <w:p w:rsidR="006D2931" w:rsidRPr="00CE0603" w:rsidRDefault="006D2931" w:rsidP="00CE0603">
            <w:pPr>
              <w:pStyle w:val="Table"/>
            </w:pPr>
            <w:r>
              <w:t>End of Record</w:t>
            </w:r>
          </w:p>
        </w:tc>
        <w:tc>
          <w:tcPr>
            <w:tcW w:w="1080" w:type="dxa"/>
          </w:tcPr>
          <w:p w:rsidR="006D2931" w:rsidRDefault="006D2931" w:rsidP="00FB095D">
            <w:pPr>
              <w:pStyle w:val="Table"/>
              <w:jc w:val="center"/>
            </w:pPr>
            <w:r>
              <w:t>1</w:t>
            </w:r>
          </w:p>
        </w:tc>
        <w:tc>
          <w:tcPr>
            <w:tcW w:w="1170" w:type="dxa"/>
          </w:tcPr>
          <w:p w:rsidR="006D2931" w:rsidRDefault="006D2931" w:rsidP="00FB095D">
            <w:pPr>
              <w:pStyle w:val="Table"/>
            </w:pPr>
            <w:r>
              <w:t>A-numeric</w:t>
            </w:r>
          </w:p>
        </w:tc>
        <w:tc>
          <w:tcPr>
            <w:tcW w:w="1440" w:type="dxa"/>
          </w:tcPr>
          <w:p w:rsidR="006D2931" w:rsidRDefault="006D2931" w:rsidP="00FB095D">
            <w:pPr>
              <w:pStyle w:val="Table"/>
            </w:pPr>
            <w:r>
              <w:t>“*”</w:t>
            </w:r>
          </w:p>
        </w:tc>
        <w:tc>
          <w:tcPr>
            <w:tcW w:w="5220" w:type="dxa"/>
          </w:tcPr>
          <w:p w:rsidR="006D2931" w:rsidRDefault="006D2931" w:rsidP="00FB095D">
            <w:pPr>
              <w:pStyle w:val="Table"/>
            </w:pPr>
            <w:r>
              <w:t>Asterisk character marks the end of a record.</w:t>
            </w:r>
          </w:p>
        </w:tc>
      </w:tr>
    </w:tbl>
    <w:p w:rsidR="00E76761" w:rsidRDefault="00E76761" w:rsidP="001520BB"/>
    <w:p w:rsidR="00EA19EF" w:rsidRDefault="00EA19EF" w:rsidP="001520BB"/>
    <w:p w:rsidR="00EA19EF" w:rsidRDefault="00EA19EF" w:rsidP="00545F64">
      <w:pPr>
        <w:pStyle w:val="Caption"/>
      </w:pPr>
    </w:p>
    <w:p w:rsidR="00EA19EF" w:rsidRPr="00EA19EF" w:rsidRDefault="00EA19EF" w:rsidP="00EA19EF">
      <w:pPr>
        <w:sectPr w:rsidR="00EA19EF" w:rsidRPr="00EA19EF" w:rsidSect="00164FAD">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CA3CD1" w:rsidRDefault="00CA3CD1" w:rsidP="00CA3CD1">
      <w:pPr>
        <w:jc w:val="center"/>
        <w:rPr>
          <w:b/>
          <w:sz w:val="36"/>
        </w:rPr>
      </w:pPr>
      <w:bookmarkStart w:id="153" w:name="_Toc260898178"/>
      <w:r w:rsidRPr="00CA3CD1">
        <w:rPr>
          <w:b/>
          <w:sz w:val="36"/>
        </w:rPr>
        <w:lastRenderedPageBreak/>
        <w:t xml:space="preserve">Appendix B: </w:t>
      </w:r>
      <w:r w:rsidR="00C7438C" w:rsidRPr="00CA3CD1">
        <w:rPr>
          <w:b/>
          <w:sz w:val="36"/>
        </w:rPr>
        <w:t>Acronyms</w:t>
      </w:r>
      <w:bookmarkEnd w:id="143"/>
      <w:bookmarkEnd w:id="153"/>
    </w:p>
    <w:p w:rsidR="00C7438C" w:rsidRDefault="00C7438C"/>
    <w:tbl>
      <w:tblPr>
        <w:tblW w:w="0" w:type="auto"/>
        <w:tblInd w:w="288" w:type="dxa"/>
        <w:tblLayout w:type="fixed"/>
        <w:tblLook w:val="0000" w:firstRow="0" w:lastRow="0" w:firstColumn="0" w:lastColumn="0" w:noHBand="0" w:noVBand="0"/>
      </w:tblPr>
      <w:tblGrid>
        <w:gridCol w:w="1800"/>
        <w:gridCol w:w="6480"/>
      </w:tblGrid>
      <w:tr w:rsidR="0016609E" w:rsidTr="001520BB">
        <w:tc>
          <w:tcPr>
            <w:tcW w:w="1800" w:type="dxa"/>
          </w:tcPr>
          <w:p w:rsidR="0016609E" w:rsidRDefault="0016609E" w:rsidP="00CA0499">
            <w:pPr>
              <w:pStyle w:val="Table"/>
            </w:pPr>
            <w:r>
              <w:t>ADDP</w:t>
            </w:r>
          </w:p>
        </w:tc>
        <w:tc>
          <w:tcPr>
            <w:tcW w:w="6480" w:type="dxa"/>
          </w:tcPr>
          <w:p w:rsidR="0016609E" w:rsidRDefault="0016609E" w:rsidP="00CA0499">
            <w:pPr>
              <w:pStyle w:val="Table"/>
            </w:pPr>
            <w:r>
              <w:t>Active Duty Dental Program</w:t>
            </w:r>
          </w:p>
        </w:tc>
      </w:tr>
      <w:tr w:rsidR="00747FA6" w:rsidTr="001520BB">
        <w:tc>
          <w:tcPr>
            <w:tcW w:w="1800" w:type="dxa"/>
          </w:tcPr>
          <w:p w:rsidR="00747FA6" w:rsidRDefault="00747FA6" w:rsidP="00CA0499">
            <w:pPr>
              <w:pStyle w:val="Table"/>
            </w:pPr>
            <w:r>
              <w:t>BRAC</w:t>
            </w:r>
          </w:p>
        </w:tc>
        <w:tc>
          <w:tcPr>
            <w:tcW w:w="6480" w:type="dxa"/>
          </w:tcPr>
          <w:p w:rsidR="00747FA6" w:rsidRDefault="00747FA6" w:rsidP="00CA0499">
            <w:pPr>
              <w:pStyle w:val="Table"/>
            </w:pPr>
            <w:r>
              <w:t>Base Realignment and Closure</w:t>
            </w:r>
          </w:p>
        </w:tc>
      </w:tr>
      <w:tr w:rsidR="00CA0499" w:rsidTr="001520BB">
        <w:tc>
          <w:tcPr>
            <w:tcW w:w="1800" w:type="dxa"/>
          </w:tcPr>
          <w:p w:rsidR="00CA0499" w:rsidRDefault="00CA0499" w:rsidP="00CA0499">
            <w:pPr>
              <w:pStyle w:val="Table"/>
            </w:pPr>
            <w:r>
              <w:t>CCB</w:t>
            </w:r>
          </w:p>
        </w:tc>
        <w:tc>
          <w:tcPr>
            <w:tcW w:w="6480" w:type="dxa"/>
          </w:tcPr>
          <w:p w:rsidR="00CA0499" w:rsidRDefault="00CA0499" w:rsidP="00CA0499">
            <w:pPr>
              <w:pStyle w:val="Table"/>
            </w:pPr>
            <w:r>
              <w:t>Configuration Control Board</w:t>
            </w:r>
          </w:p>
        </w:tc>
      </w:tr>
      <w:tr w:rsidR="003D3E0E" w:rsidTr="001520BB">
        <w:tc>
          <w:tcPr>
            <w:tcW w:w="1800" w:type="dxa"/>
          </w:tcPr>
          <w:p w:rsidR="003D3E0E" w:rsidRDefault="003D3E0E" w:rsidP="00CA0499">
            <w:pPr>
              <w:pStyle w:val="Table"/>
            </w:pPr>
            <w:r>
              <w:t>CEIS</w:t>
            </w:r>
          </w:p>
        </w:tc>
        <w:tc>
          <w:tcPr>
            <w:tcW w:w="6480" w:type="dxa"/>
          </w:tcPr>
          <w:p w:rsidR="003D3E0E" w:rsidRDefault="003D3E0E" w:rsidP="00CA0499">
            <w:pPr>
              <w:pStyle w:val="Table"/>
            </w:pPr>
            <w:r>
              <w:t>Corporate Executive Information System</w:t>
            </w:r>
          </w:p>
        </w:tc>
      </w:tr>
      <w:tr w:rsidR="00CA0499" w:rsidTr="001520BB">
        <w:tc>
          <w:tcPr>
            <w:tcW w:w="1800" w:type="dxa"/>
          </w:tcPr>
          <w:p w:rsidR="00CA0499" w:rsidRDefault="00CA0499" w:rsidP="00CA0499">
            <w:pPr>
              <w:pStyle w:val="Table"/>
            </w:pPr>
            <w:r>
              <w:t>DCN</w:t>
            </w:r>
          </w:p>
        </w:tc>
        <w:tc>
          <w:tcPr>
            <w:tcW w:w="6480" w:type="dxa"/>
          </w:tcPr>
          <w:p w:rsidR="00CA0499" w:rsidRDefault="00CA0499" w:rsidP="00CA0499">
            <w:pPr>
              <w:pStyle w:val="Table"/>
            </w:pPr>
            <w:r>
              <w:t>Document Change Notice</w:t>
            </w:r>
          </w:p>
        </w:tc>
      </w:tr>
      <w:tr w:rsidR="000059F6" w:rsidTr="001520BB">
        <w:tc>
          <w:tcPr>
            <w:tcW w:w="1800" w:type="dxa"/>
          </w:tcPr>
          <w:p w:rsidR="000059F6" w:rsidRDefault="000059F6" w:rsidP="00CA0499">
            <w:pPr>
              <w:pStyle w:val="Table"/>
            </w:pPr>
            <w:r>
              <w:t>DECC</w:t>
            </w:r>
          </w:p>
        </w:tc>
        <w:tc>
          <w:tcPr>
            <w:tcW w:w="6480" w:type="dxa"/>
          </w:tcPr>
          <w:p w:rsidR="000059F6" w:rsidRDefault="000059F6" w:rsidP="00CA0499">
            <w:pPr>
              <w:pStyle w:val="Table"/>
            </w:pPr>
            <w:r>
              <w:t xml:space="preserve">Defense </w:t>
            </w:r>
            <w:smartTag w:uri="urn:schemas-microsoft-com:office:smarttags" w:element="City">
              <w:smartTag w:uri="urn:schemas-microsoft-com:office:smarttags" w:element="place">
                <w:r>
                  <w:t>Enterprise</w:t>
                </w:r>
              </w:smartTag>
            </w:smartTag>
            <w:r>
              <w:t xml:space="preserve"> Computing Center </w:t>
            </w:r>
          </w:p>
        </w:tc>
      </w:tr>
      <w:tr w:rsidR="00EA7B80" w:rsidTr="001520BB">
        <w:tc>
          <w:tcPr>
            <w:tcW w:w="1800" w:type="dxa"/>
          </w:tcPr>
          <w:p w:rsidR="00EA7B80" w:rsidRDefault="00EA7B80" w:rsidP="00CA0499">
            <w:pPr>
              <w:pStyle w:val="Table"/>
            </w:pPr>
            <w:r>
              <w:t>DHSS</w:t>
            </w:r>
          </w:p>
        </w:tc>
        <w:tc>
          <w:tcPr>
            <w:tcW w:w="6480" w:type="dxa"/>
          </w:tcPr>
          <w:p w:rsidR="00EA7B80" w:rsidRDefault="00EA7B80" w:rsidP="00CA0499">
            <w:pPr>
              <w:pStyle w:val="Table"/>
            </w:pPr>
            <w:r>
              <w:t xml:space="preserve">Defense Health </w:t>
            </w:r>
            <w:r w:rsidR="00A6378D">
              <w:t>Services S</w:t>
            </w:r>
            <w:r>
              <w:t xml:space="preserve">ystems </w:t>
            </w:r>
          </w:p>
        </w:tc>
      </w:tr>
      <w:tr w:rsidR="00CA0499" w:rsidTr="001520BB">
        <w:tc>
          <w:tcPr>
            <w:tcW w:w="1800" w:type="dxa"/>
          </w:tcPr>
          <w:p w:rsidR="00CA0499" w:rsidRDefault="00CA0499" w:rsidP="00CA0499">
            <w:pPr>
              <w:pStyle w:val="Table"/>
            </w:pPr>
            <w:r>
              <w:t>DoD</w:t>
            </w:r>
          </w:p>
        </w:tc>
        <w:tc>
          <w:tcPr>
            <w:tcW w:w="6480" w:type="dxa"/>
          </w:tcPr>
          <w:p w:rsidR="00CA0499" w:rsidRDefault="00CA0499" w:rsidP="00CA0499">
            <w:pPr>
              <w:pStyle w:val="Table"/>
            </w:pPr>
            <w:r>
              <w:t>Department of Defense</w:t>
            </w:r>
          </w:p>
        </w:tc>
      </w:tr>
      <w:tr w:rsidR="00BC2BBE" w:rsidTr="001520BB">
        <w:tc>
          <w:tcPr>
            <w:tcW w:w="1800" w:type="dxa"/>
          </w:tcPr>
          <w:p w:rsidR="00BC2BBE" w:rsidRDefault="00BC2BBE" w:rsidP="00CA0499">
            <w:pPr>
              <w:pStyle w:val="Table"/>
            </w:pPr>
            <w:r>
              <w:t>DUA</w:t>
            </w:r>
          </w:p>
        </w:tc>
        <w:tc>
          <w:tcPr>
            <w:tcW w:w="6480" w:type="dxa"/>
          </w:tcPr>
          <w:p w:rsidR="00BC2BBE" w:rsidRDefault="00BC2BBE" w:rsidP="00CA0499">
            <w:pPr>
              <w:pStyle w:val="Table"/>
            </w:pPr>
            <w:r>
              <w:t>Data Use Agreement</w:t>
            </w:r>
          </w:p>
        </w:tc>
      </w:tr>
      <w:tr w:rsidR="00CA0499" w:rsidTr="001520BB">
        <w:tc>
          <w:tcPr>
            <w:tcW w:w="1800" w:type="dxa"/>
          </w:tcPr>
          <w:p w:rsidR="00CA0499" w:rsidRDefault="00BE75ED" w:rsidP="00CA0499">
            <w:pPr>
              <w:pStyle w:val="Table"/>
            </w:pPr>
            <w:r>
              <w:t>EI</w:t>
            </w:r>
            <w:r w:rsidR="00CA0499">
              <w:t>DS</w:t>
            </w:r>
          </w:p>
        </w:tc>
        <w:tc>
          <w:tcPr>
            <w:tcW w:w="6480" w:type="dxa"/>
          </w:tcPr>
          <w:p w:rsidR="00CA0499" w:rsidRDefault="00BE75ED" w:rsidP="00CA0499">
            <w:pPr>
              <w:pStyle w:val="Table"/>
            </w:pPr>
            <w:r>
              <w:t xml:space="preserve">Executive Information </w:t>
            </w:r>
            <w:r w:rsidR="00CA0499">
              <w:t>Decision Support</w:t>
            </w:r>
          </w:p>
        </w:tc>
      </w:tr>
      <w:tr w:rsidR="00747FA6" w:rsidTr="001520BB">
        <w:tc>
          <w:tcPr>
            <w:tcW w:w="1800" w:type="dxa"/>
          </w:tcPr>
          <w:p w:rsidR="00747FA6" w:rsidRDefault="00747FA6" w:rsidP="00CA0499">
            <w:pPr>
              <w:pStyle w:val="Table"/>
            </w:pPr>
            <w:r>
              <w:t>FEHBP</w:t>
            </w:r>
          </w:p>
        </w:tc>
        <w:tc>
          <w:tcPr>
            <w:tcW w:w="6480" w:type="dxa"/>
          </w:tcPr>
          <w:p w:rsidR="00747FA6" w:rsidRDefault="00747FA6" w:rsidP="00CA0499">
            <w:pPr>
              <w:pStyle w:val="Table"/>
            </w:pPr>
            <w:r>
              <w:t>Federal Employee Health Benefit Program</w:t>
            </w:r>
          </w:p>
        </w:tc>
      </w:tr>
      <w:tr w:rsidR="00CA0499" w:rsidTr="001520BB">
        <w:tc>
          <w:tcPr>
            <w:tcW w:w="1800" w:type="dxa"/>
          </w:tcPr>
          <w:p w:rsidR="00CA0499" w:rsidRDefault="00CA0499" w:rsidP="00CA0499">
            <w:pPr>
              <w:pStyle w:val="Table"/>
            </w:pPr>
            <w:r>
              <w:t>HIPAA</w:t>
            </w:r>
          </w:p>
        </w:tc>
        <w:tc>
          <w:tcPr>
            <w:tcW w:w="6480" w:type="dxa"/>
          </w:tcPr>
          <w:p w:rsidR="00CA0499" w:rsidRDefault="00CA0499" w:rsidP="00CA0499">
            <w:pPr>
              <w:pStyle w:val="Table"/>
            </w:pPr>
            <w:r>
              <w:t>Health Insurance Portability and Accountability Act</w:t>
            </w:r>
          </w:p>
        </w:tc>
      </w:tr>
      <w:tr w:rsidR="0054301B" w:rsidTr="001520BB">
        <w:tc>
          <w:tcPr>
            <w:tcW w:w="1800" w:type="dxa"/>
          </w:tcPr>
          <w:p w:rsidR="0054301B" w:rsidRDefault="0054301B" w:rsidP="00CA0499">
            <w:pPr>
              <w:pStyle w:val="Table"/>
            </w:pPr>
            <w:r>
              <w:t>HPA&amp;E</w:t>
            </w:r>
          </w:p>
        </w:tc>
        <w:tc>
          <w:tcPr>
            <w:tcW w:w="6480" w:type="dxa"/>
          </w:tcPr>
          <w:p w:rsidR="0054301B" w:rsidRDefault="0054301B" w:rsidP="00CA0499">
            <w:pPr>
              <w:pStyle w:val="Table"/>
            </w:pPr>
            <w:r>
              <w:t>Health Programs Analysis and Evaluation Division</w:t>
            </w:r>
          </w:p>
        </w:tc>
      </w:tr>
      <w:tr w:rsidR="00372460" w:rsidTr="001520BB">
        <w:tc>
          <w:tcPr>
            <w:tcW w:w="1800" w:type="dxa"/>
          </w:tcPr>
          <w:p w:rsidR="00372460" w:rsidRDefault="00372460" w:rsidP="00CA0499">
            <w:pPr>
              <w:pStyle w:val="Table"/>
            </w:pPr>
            <w:r>
              <w:t>IA</w:t>
            </w:r>
          </w:p>
        </w:tc>
        <w:tc>
          <w:tcPr>
            <w:tcW w:w="6480" w:type="dxa"/>
          </w:tcPr>
          <w:p w:rsidR="00372460" w:rsidRDefault="00372460" w:rsidP="00CA0499">
            <w:pPr>
              <w:pStyle w:val="Table"/>
            </w:pPr>
            <w:r>
              <w:t>Information Assurance</w:t>
            </w:r>
          </w:p>
        </w:tc>
      </w:tr>
      <w:tr w:rsidR="0040272D" w:rsidTr="001520BB">
        <w:tc>
          <w:tcPr>
            <w:tcW w:w="1800" w:type="dxa"/>
          </w:tcPr>
          <w:p w:rsidR="0040272D" w:rsidRDefault="0040272D" w:rsidP="00CA0499">
            <w:pPr>
              <w:pStyle w:val="Table"/>
            </w:pPr>
            <w:r>
              <w:t>ICD</w:t>
            </w:r>
          </w:p>
        </w:tc>
        <w:tc>
          <w:tcPr>
            <w:tcW w:w="6480" w:type="dxa"/>
          </w:tcPr>
          <w:p w:rsidR="0040272D" w:rsidRDefault="0040272D" w:rsidP="00CA0499">
            <w:pPr>
              <w:pStyle w:val="Table"/>
            </w:pPr>
            <w:r>
              <w:t>Initial Capabilities Document</w:t>
            </w:r>
          </w:p>
        </w:tc>
      </w:tr>
      <w:tr w:rsidR="00CA0499" w:rsidTr="001520BB">
        <w:tc>
          <w:tcPr>
            <w:tcW w:w="1800" w:type="dxa"/>
          </w:tcPr>
          <w:p w:rsidR="00CA0499" w:rsidRDefault="00CA0499" w:rsidP="00CA0499">
            <w:pPr>
              <w:pStyle w:val="Table"/>
            </w:pPr>
            <w:r>
              <w:t>ICD</w:t>
            </w:r>
          </w:p>
        </w:tc>
        <w:tc>
          <w:tcPr>
            <w:tcW w:w="6480" w:type="dxa"/>
          </w:tcPr>
          <w:p w:rsidR="00CA0499" w:rsidRDefault="00CA0499" w:rsidP="00CA0499">
            <w:pPr>
              <w:pStyle w:val="Table"/>
            </w:pPr>
            <w:r>
              <w:t>Interface Control Document</w:t>
            </w:r>
          </w:p>
        </w:tc>
      </w:tr>
      <w:tr w:rsidR="00BE75ED" w:rsidTr="001520BB">
        <w:tc>
          <w:tcPr>
            <w:tcW w:w="1800" w:type="dxa"/>
          </w:tcPr>
          <w:p w:rsidR="00BE75ED" w:rsidRDefault="00BE75ED" w:rsidP="00780F34">
            <w:pPr>
              <w:pStyle w:val="Table"/>
            </w:pPr>
            <w:r>
              <w:t>JROC</w:t>
            </w:r>
          </w:p>
        </w:tc>
        <w:tc>
          <w:tcPr>
            <w:tcW w:w="6480" w:type="dxa"/>
          </w:tcPr>
          <w:p w:rsidR="00BE75ED" w:rsidRDefault="00BE75ED" w:rsidP="00780F34">
            <w:pPr>
              <w:pStyle w:val="Table"/>
            </w:pPr>
            <w:r w:rsidRPr="002B3DB4">
              <w:t>Joint Requirements Oversight Council</w:t>
            </w:r>
          </w:p>
        </w:tc>
      </w:tr>
      <w:tr w:rsidR="000A2CCE" w:rsidTr="001520BB">
        <w:tc>
          <w:tcPr>
            <w:tcW w:w="1800" w:type="dxa"/>
          </w:tcPr>
          <w:p w:rsidR="000A2CCE" w:rsidRDefault="000A2CCE" w:rsidP="00CA0499">
            <w:pPr>
              <w:pStyle w:val="Table"/>
            </w:pPr>
            <w:r>
              <w:t>MDR</w:t>
            </w:r>
          </w:p>
        </w:tc>
        <w:tc>
          <w:tcPr>
            <w:tcW w:w="6480" w:type="dxa"/>
          </w:tcPr>
          <w:p w:rsidR="000A2CCE" w:rsidRDefault="000A2CCE" w:rsidP="00CA0499">
            <w:pPr>
              <w:pStyle w:val="Table"/>
            </w:pPr>
            <w:r>
              <w:t>MHS Data Repository</w:t>
            </w:r>
          </w:p>
        </w:tc>
      </w:tr>
      <w:tr w:rsidR="00BE75ED" w:rsidTr="001520BB">
        <w:tc>
          <w:tcPr>
            <w:tcW w:w="1800" w:type="dxa"/>
          </w:tcPr>
          <w:p w:rsidR="00BE75ED" w:rsidRDefault="00BE75ED" w:rsidP="00CA0499">
            <w:pPr>
              <w:pStyle w:val="Table"/>
            </w:pPr>
            <w:r>
              <w:t>MHS</w:t>
            </w:r>
          </w:p>
        </w:tc>
        <w:tc>
          <w:tcPr>
            <w:tcW w:w="6480" w:type="dxa"/>
          </w:tcPr>
          <w:p w:rsidR="00BE75ED" w:rsidRDefault="00BE75ED" w:rsidP="00CA0499">
            <w:pPr>
              <w:pStyle w:val="Table"/>
            </w:pPr>
            <w:r>
              <w:t>Military Health System</w:t>
            </w:r>
          </w:p>
        </w:tc>
      </w:tr>
      <w:tr w:rsidR="000059F6" w:rsidTr="001520BB">
        <w:tc>
          <w:tcPr>
            <w:tcW w:w="1800" w:type="dxa"/>
          </w:tcPr>
          <w:p w:rsidR="000059F6" w:rsidRDefault="000059F6" w:rsidP="00CA0499">
            <w:pPr>
              <w:pStyle w:val="Table"/>
            </w:pPr>
            <w:r>
              <w:t>OKC</w:t>
            </w:r>
          </w:p>
        </w:tc>
        <w:tc>
          <w:tcPr>
            <w:tcW w:w="6480" w:type="dxa"/>
          </w:tcPr>
          <w:p w:rsidR="000059F6" w:rsidRDefault="000059F6" w:rsidP="00CA0499">
            <w:pPr>
              <w:pStyle w:val="Table"/>
            </w:pPr>
            <w:smartTag w:uri="urn:schemas-microsoft-com:office:smarttags" w:element="City">
              <w:smartTag w:uri="urn:schemas-microsoft-com:office:smarttags" w:element="place">
                <w:r>
                  <w:t>Oklahoma City</w:t>
                </w:r>
              </w:smartTag>
            </w:smartTag>
          </w:p>
        </w:tc>
      </w:tr>
      <w:tr w:rsidR="00B330B7" w:rsidTr="001520BB">
        <w:tc>
          <w:tcPr>
            <w:tcW w:w="1800" w:type="dxa"/>
          </w:tcPr>
          <w:p w:rsidR="00B330B7" w:rsidRDefault="00B330B7" w:rsidP="00CA0499">
            <w:pPr>
              <w:pStyle w:val="Table"/>
            </w:pPr>
            <w:r>
              <w:t>ORD</w:t>
            </w:r>
          </w:p>
        </w:tc>
        <w:tc>
          <w:tcPr>
            <w:tcW w:w="6480" w:type="dxa"/>
          </w:tcPr>
          <w:p w:rsidR="00B330B7" w:rsidRDefault="00B330B7" w:rsidP="00CA0499">
            <w:pPr>
              <w:pStyle w:val="Table"/>
            </w:pPr>
            <w:r>
              <w:t>Operational Requirements Document</w:t>
            </w:r>
          </w:p>
        </w:tc>
      </w:tr>
      <w:tr w:rsidR="00FB095D" w:rsidTr="001520BB">
        <w:tc>
          <w:tcPr>
            <w:tcW w:w="1800" w:type="dxa"/>
          </w:tcPr>
          <w:p w:rsidR="00FB095D" w:rsidRDefault="00FB095D" w:rsidP="00CA0499">
            <w:pPr>
              <w:pStyle w:val="Table"/>
            </w:pPr>
            <w:r>
              <w:t>PHI</w:t>
            </w:r>
          </w:p>
        </w:tc>
        <w:tc>
          <w:tcPr>
            <w:tcW w:w="6480" w:type="dxa"/>
          </w:tcPr>
          <w:p w:rsidR="00FB095D" w:rsidRDefault="00FB095D" w:rsidP="00CA0499">
            <w:pPr>
              <w:pStyle w:val="Table"/>
            </w:pPr>
            <w:r>
              <w:t xml:space="preserve">Protected Health Information </w:t>
            </w:r>
          </w:p>
        </w:tc>
      </w:tr>
      <w:tr w:rsidR="00BB22EB" w:rsidTr="001520BB">
        <w:tc>
          <w:tcPr>
            <w:tcW w:w="1800" w:type="dxa"/>
          </w:tcPr>
          <w:p w:rsidR="00BB22EB" w:rsidRDefault="00BB22EB" w:rsidP="00CA0499">
            <w:pPr>
              <w:pStyle w:val="Table"/>
            </w:pPr>
            <w:r>
              <w:t>SAF</w:t>
            </w:r>
          </w:p>
        </w:tc>
        <w:tc>
          <w:tcPr>
            <w:tcW w:w="6480" w:type="dxa"/>
          </w:tcPr>
          <w:p w:rsidR="00BB22EB" w:rsidRDefault="00BB22EB" w:rsidP="00CA0499">
            <w:pPr>
              <w:pStyle w:val="Table"/>
            </w:pPr>
            <w:r>
              <w:t>Service Area File</w:t>
            </w:r>
          </w:p>
        </w:tc>
      </w:tr>
      <w:tr w:rsidR="00BC2BBE" w:rsidTr="001520BB">
        <w:tc>
          <w:tcPr>
            <w:tcW w:w="1800" w:type="dxa"/>
          </w:tcPr>
          <w:p w:rsidR="00BC2BBE" w:rsidRDefault="00BC2BBE" w:rsidP="00CA0499">
            <w:pPr>
              <w:pStyle w:val="Table"/>
            </w:pPr>
            <w:r>
              <w:t>SSAA</w:t>
            </w:r>
          </w:p>
        </w:tc>
        <w:tc>
          <w:tcPr>
            <w:tcW w:w="6480" w:type="dxa"/>
          </w:tcPr>
          <w:p w:rsidR="00BC2BBE" w:rsidRDefault="00BC2BBE" w:rsidP="00CA0499">
            <w:pPr>
              <w:pStyle w:val="Table"/>
            </w:pPr>
            <w:r>
              <w:t xml:space="preserve">System Security Authorization Agreement </w:t>
            </w:r>
          </w:p>
        </w:tc>
      </w:tr>
      <w:tr w:rsidR="00FB095D" w:rsidTr="001520BB">
        <w:tc>
          <w:tcPr>
            <w:tcW w:w="1800" w:type="dxa"/>
          </w:tcPr>
          <w:p w:rsidR="00FB095D" w:rsidRDefault="00FB095D" w:rsidP="00CA0499">
            <w:pPr>
              <w:pStyle w:val="Table"/>
            </w:pPr>
            <w:r>
              <w:t>TMA</w:t>
            </w:r>
          </w:p>
        </w:tc>
        <w:tc>
          <w:tcPr>
            <w:tcW w:w="6480" w:type="dxa"/>
          </w:tcPr>
          <w:p w:rsidR="00FB095D" w:rsidRDefault="00FB095D" w:rsidP="00CA0499">
            <w:pPr>
              <w:pStyle w:val="Table"/>
            </w:pPr>
            <w:r>
              <w:t>TRICARE Management Activity</w:t>
            </w:r>
          </w:p>
        </w:tc>
      </w:tr>
      <w:tr w:rsidR="006D0286" w:rsidTr="001520BB">
        <w:tc>
          <w:tcPr>
            <w:tcW w:w="1800" w:type="dxa"/>
          </w:tcPr>
          <w:p w:rsidR="006D0286" w:rsidRDefault="006D0286" w:rsidP="00CA0499">
            <w:pPr>
              <w:pStyle w:val="Table"/>
            </w:pPr>
            <w:r>
              <w:t>U</w:t>
            </w:r>
            <w:r w:rsidR="00747FA6">
              <w:t>SFHP</w:t>
            </w:r>
          </w:p>
        </w:tc>
        <w:tc>
          <w:tcPr>
            <w:tcW w:w="6480" w:type="dxa"/>
          </w:tcPr>
          <w:p w:rsidR="006D0286" w:rsidRDefault="00747FA6" w:rsidP="00CA0499">
            <w:pPr>
              <w:pStyle w:val="Table"/>
            </w:pPr>
            <w:r>
              <w:t>Uniformed Services Family Health Plan</w:t>
            </w:r>
          </w:p>
        </w:tc>
      </w:tr>
    </w:tbl>
    <w:p w:rsidR="00C7438C" w:rsidRDefault="00C7438C">
      <w:pPr>
        <w:pStyle w:val="p"/>
      </w:pPr>
    </w:p>
    <w:p w:rsidR="00C7438C" w:rsidRDefault="00C7438C">
      <w:pPr>
        <w:pStyle w:val="p"/>
      </w:pPr>
    </w:p>
    <w:sectPr w:rsidR="00C7438C" w:rsidSect="00164FAD">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20" w:rsidRDefault="00D14A20">
      <w:r>
        <w:separator/>
      </w:r>
    </w:p>
  </w:endnote>
  <w:endnote w:type="continuationSeparator" w:id="0">
    <w:p w:rsidR="00D14A20" w:rsidRDefault="00D1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B095D" w:rsidRDefault="00FB0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B095D" w:rsidRDefault="00FB0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CD1">
      <w:rPr>
        <w:rStyle w:val="PageNumber"/>
        <w:noProof/>
      </w:rPr>
      <w:t>xii</w:t>
    </w:r>
    <w:r>
      <w:rPr>
        <w:rStyle w:val="PageNumber"/>
      </w:rPr>
      <w:fldChar w:fldCharType="end"/>
    </w:r>
  </w:p>
  <w:p w:rsidR="00FB095D" w:rsidRDefault="00FB09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B095D" w:rsidRDefault="00FB09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CD1">
      <w:rPr>
        <w:rStyle w:val="PageNumber"/>
        <w:noProof/>
      </w:rPr>
      <w:t>1-1</w:t>
    </w:r>
    <w:r>
      <w:rPr>
        <w:rStyle w:val="PageNumber"/>
      </w:rPr>
      <w:fldChar w:fldCharType="end"/>
    </w:r>
  </w:p>
  <w:p w:rsidR="00FB095D" w:rsidRDefault="00FB09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pPr>
    <w:r>
      <w:tab/>
    </w:r>
    <w:r>
      <w:rPr>
        <w:rStyle w:val="PageNumber"/>
      </w:rPr>
      <w:fldChar w:fldCharType="begin"/>
    </w:r>
    <w:r>
      <w:rPr>
        <w:rStyle w:val="PageNumber"/>
      </w:rPr>
      <w:instrText xml:space="preserve"> PAGE </w:instrText>
    </w:r>
    <w:r>
      <w:rPr>
        <w:rStyle w:val="PageNumber"/>
      </w:rPr>
      <w:fldChar w:fldCharType="separate"/>
    </w:r>
    <w:r w:rsidR="00CA3CD1">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CA3CD1">
      <w:rPr>
        <w:rStyle w:val="PageNumber"/>
        <w:noProof/>
      </w:rPr>
      <w:t>3</w:t>
    </w:r>
    <w:r>
      <w:rPr>
        <w:rStyle w:val="PageNumber"/>
      </w:rPr>
      <w:fldChar w:fldCharType="end"/>
    </w:r>
    <w:r>
      <w:rPr>
        <w:rStyle w:val="PageNumber"/>
      </w:rPr>
      <w:t xml:space="preserve"> </w:t>
    </w:r>
  </w:p>
  <w:p w:rsidR="00FB095D" w:rsidRDefault="00FB095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FB0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CD1">
      <w:rPr>
        <w:rStyle w:val="PageNumber"/>
        <w:noProof/>
      </w:rPr>
      <w:t>1</w:t>
    </w:r>
    <w:r>
      <w:rPr>
        <w:rStyle w:val="PageNumber"/>
      </w:rPr>
      <w:fldChar w:fldCharType="end"/>
    </w:r>
  </w:p>
  <w:p w:rsidR="00FB095D" w:rsidRDefault="00FB095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20" w:rsidRDefault="00D14A20">
      <w:r>
        <w:separator/>
      </w:r>
    </w:p>
  </w:footnote>
  <w:footnote w:type="continuationSeparator" w:id="0">
    <w:p w:rsidR="00D14A20" w:rsidRDefault="00D1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CA3CD1">
    <w:pPr>
      <w:pStyle w:val="cvrdocno"/>
    </w:pPr>
    <w:r>
      <w:fldChar w:fldCharType="begin"/>
    </w:r>
    <w:r>
      <w:instrText xml:space="preserve"> DOCPROPERTY "Document number"  \* MERGEFORMAT </w:instrText>
    </w:r>
    <w:r>
      <w:fldChar w:fldCharType="separate"/>
    </w:r>
    <w:r w:rsidR="0035327E">
      <w:t>ICD-1300-6136-01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CA3CD1">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35327E">
      <w:t>SAF for MDR</w:t>
    </w:r>
    <w:r>
      <w:fldChar w:fldCharType="end"/>
    </w:r>
    <w:r w:rsidR="00FB095D">
      <w:tab/>
    </w:r>
    <w:r w:rsidR="00FB095D">
      <w:rPr>
        <w:b/>
        <w:caps/>
      </w:rPr>
      <w:fldChar w:fldCharType="begin"/>
    </w:r>
    <w:r w:rsidR="00FB095D">
      <w:rPr>
        <w:b/>
        <w:caps/>
      </w:rPr>
      <w:instrText xml:space="preserve"> DOCPROPERTY "IterationVers"  \* MERGEFORMAT </w:instrText>
    </w:r>
    <w:r w:rsidR="00FB095D">
      <w:rPr>
        <w:b/>
        <w:caps/>
      </w:rPr>
      <w:fldChar w:fldCharType="separate"/>
    </w:r>
    <w:r w:rsidR="0035327E">
      <w:rPr>
        <w:b/>
        <w:caps/>
      </w:rPr>
      <w:t>Approved</w:t>
    </w:r>
    <w:r w:rsidR="00FB095D">
      <w:rPr>
        <w:b/>
        <w:caps/>
      </w:rPr>
      <w:fldChar w:fldCharType="end"/>
    </w:r>
    <w:r w:rsidR="00FB095D">
      <w:tab/>
      <w:t xml:space="preserve">Document No.: </w:t>
    </w:r>
    <w:r w:rsidR="00FB095D">
      <w:rPr>
        <w:b/>
      </w:rPr>
      <w:fldChar w:fldCharType="begin"/>
    </w:r>
    <w:r w:rsidR="00FB095D">
      <w:rPr>
        <w:b/>
      </w:rPr>
      <w:instrText xml:space="preserve"> DOCPROPERTY "Document number"  \* MERGEFORMAT </w:instrText>
    </w:r>
    <w:r w:rsidR="00FB095D">
      <w:rPr>
        <w:b/>
      </w:rPr>
      <w:fldChar w:fldCharType="separate"/>
    </w:r>
    <w:r w:rsidR="0035327E">
      <w:rPr>
        <w:b/>
      </w:rPr>
      <w:t>ICD-1300-6136-01</w:t>
    </w:r>
    <w:r w:rsidR="00FB095D">
      <w:rPr>
        <w:b/>
      </w:rPr>
      <w:fldChar w:fldCharType="end"/>
    </w:r>
  </w:p>
  <w:p w:rsidR="00FB095D" w:rsidRDefault="00FB095D">
    <w:pPr>
      <w:pStyle w:val="Header"/>
      <w:pBdr>
        <w:top w:val="single" w:sz="4" w:space="1" w:color="auto"/>
        <w:bottom w:val="single" w:sz="4" w:space="1" w:color="auto"/>
      </w:pBdr>
    </w:pPr>
    <w:r>
      <w:tab/>
    </w:r>
    <w:r w:rsidR="00CA3CD1">
      <w:fldChar w:fldCharType="begin"/>
    </w:r>
    <w:r w:rsidR="00CA3CD1">
      <w:instrText xml:space="preserve"> DOCPROPERTY "DocDate"  \* MERGEFORMAT </w:instrText>
    </w:r>
    <w:r w:rsidR="00CA3CD1">
      <w:fldChar w:fldCharType="separate"/>
    </w:r>
    <w:r w:rsidR="0035327E">
      <w:t>May 25, 2010</w:t>
    </w:r>
    <w:r w:rsidR="00CA3CD1">
      <w:fldChar w:fldCharType="end"/>
    </w:r>
    <w:r>
      <w:tab/>
    </w:r>
    <w:r>
      <w:rPr>
        <w:b/>
      </w:rPr>
      <w:fldChar w:fldCharType="begin"/>
    </w:r>
    <w:r>
      <w:rPr>
        <w:b/>
      </w:rPr>
      <w:instrText xml:space="preserve"> DOCPROPERTY "DocRevisionLtr"  \* MERGEFORMAT </w:instrText>
    </w:r>
    <w:r>
      <w:rPr>
        <w:b/>
      </w:rPr>
      <w:fldChar w:fldCharType="separate"/>
    </w:r>
    <w:r w:rsidR="0035327E">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CA3CD1">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35327E">
      <w:t>SAF for MDR</w:t>
    </w:r>
    <w:r>
      <w:fldChar w:fldCharType="end"/>
    </w:r>
    <w:r w:rsidR="00FB095D">
      <w:tab/>
    </w:r>
    <w:r w:rsidR="00FB095D">
      <w:rPr>
        <w:b/>
        <w:caps/>
      </w:rPr>
      <w:fldChar w:fldCharType="begin"/>
    </w:r>
    <w:r w:rsidR="00FB095D">
      <w:rPr>
        <w:b/>
        <w:caps/>
      </w:rPr>
      <w:instrText xml:space="preserve"> DOCPROPERTY "IterationVers"  \* MERGEFORMAT </w:instrText>
    </w:r>
    <w:r w:rsidR="00FB095D">
      <w:rPr>
        <w:b/>
        <w:caps/>
      </w:rPr>
      <w:fldChar w:fldCharType="separate"/>
    </w:r>
    <w:r w:rsidR="0035327E">
      <w:rPr>
        <w:b/>
        <w:caps/>
      </w:rPr>
      <w:t>Approved</w:t>
    </w:r>
    <w:r w:rsidR="00FB095D">
      <w:rPr>
        <w:b/>
        <w:caps/>
      </w:rPr>
      <w:fldChar w:fldCharType="end"/>
    </w:r>
    <w:r w:rsidR="00FB095D">
      <w:rPr>
        <w:b/>
        <w:caps/>
      </w:rPr>
      <w:tab/>
    </w:r>
    <w:r w:rsidR="00FB095D">
      <w:t xml:space="preserve">Document No.: </w:t>
    </w:r>
    <w:r w:rsidR="00FB095D">
      <w:rPr>
        <w:b/>
      </w:rPr>
      <w:fldChar w:fldCharType="begin"/>
    </w:r>
    <w:r w:rsidR="00FB095D">
      <w:rPr>
        <w:b/>
      </w:rPr>
      <w:instrText xml:space="preserve"> DOCPROPERTY "Document number"  \* MERGEFORMAT </w:instrText>
    </w:r>
    <w:r w:rsidR="00FB095D">
      <w:rPr>
        <w:b/>
      </w:rPr>
      <w:fldChar w:fldCharType="separate"/>
    </w:r>
    <w:r w:rsidR="0035327E">
      <w:rPr>
        <w:b/>
      </w:rPr>
      <w:t>ICD-1300-6136-01</w:t>
    </w:r>
    <w:r w:rsidR="00FB095D">
      <w:rPr>
        <w:b/>
      </w:rPr>
      <w:fldChar w:fldCharType="end"/>
    </w:r>
  </w:p>
  <w:p w:rsidR="00FB095D" w:rsidRDefault="00FB095D">
    <w:pPr>
      <w:pStyle w:val="Header"/>
      <w:pBdr>
        <w:top w:val="single" w:sz="4" w:space="1" w:color="auto"/>
        <w:bottom w:val="single" w:sz="4" w:space="0" w:color="auto"/>
      </w:pBdr>
      <w:tabs>
        <w:tab w:val="clear" w:pos="4320"/>
        <w:tab w:val="clear" w:pos="8640"/>
        <w:tab w:val="center" w:pos="6480"/>
        <w:tab w:val="right" w:pos="13320"/>
      </w:tabs>
    </w:pPr>
    <w:r>
      <w:tab/>
    </w:r>
    <w:r w:rsidR="00CA3CD1">
      <w:fldChar w:fldCharType="begin"/>
    </w:r>
    <w:r w:rsidR="00CA3CD1">
      <w:instrText xml:space="preserve"> DOCPROPERTY "DocDate"  \* MERGEFORMAT </w:instrText>
    </w:r>
    <w:r w:rsidR="00CA3CD1">
      <w:fldChar w:fldCharType="separate"/>
    </w:r>
    <w:r w:rsidR="0035327E">
      <w:t>May 25, 2010</w:t>
    </w:r>
    <w:r w:rsidR="00CA3CD1">
      <w:fldChar w:fldCharType="end"/>
    </w:r>
    <w:r>
      <w:tab/>
    </w:r>
    <w:r>
      <w:rPr>
        <w:b/>
      </w:rPr>
      <w:fldChar w:fldCharType="begin"/>
    </w:r>
    <w:r>
      <w:rPr>
        <w:b/>
      </w:rPr>
      <w:instrText xml:space="preserve"> DOCPROPERTY "DocRevisionLtr"  \* MERGEFORMAT </w:instrText>
    </w:r>
    <w:r>
      <w:rPr>
        <w:b/>
      </w:rPr>
      <w:fldChar w:fldCharType="separate"/>
    </w:r>
    <w:r w:rsidR="0035327E">
      <w:rPr>
        <w:b/>
      </w:rPr>
      <w:t>Baseline</w:t>
    </w:r>
    <w:r>
      <w:rPr>
        <w:b/>
      </w:rPr>
      <w:fldChar w:fldCharType="end"/>
    </w:r>
  </w:p>
  <w:p w:rsidR="00FB095D" w:rsidRDefault="00FB09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5D" w:rsidRDefault="00CA3CD1">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35327E">
      <w:t>SAF for MDR</w:t>
    </w:r>
    <w:r>
      <w:fldChar w:fldCharType="end"/>
    </w:r>
    <w:r w:rsidR="00FB095D">
      <w:tab/>
    </w:r>
    <w:r w:rsidR="00FB095D">
      <w:rPr>
        <w:b/>
        <w:caps/>
      </w:rPr>
      <w:fldChar w:fldCharType="begin"/>
    </w:r>
    <w:r w:rsidR="00FB095D">
      <w:rPr>
        <w:b/>
        <w:caps/>
      </w:rPr>
      <w:instrText xml:space="preserve"> DOCPROPERTY "IterationVers"  \* MERGEFORMAT </w:instrText>
    </w:r>
    <w:r w:rsidR="00FB095D">
      <w:rPr>
        <w:b/>
        <w:caps/>
      </w:rPr>
      <w:fldChar w:fldCharType="separate"/>
    </w:r>
    <w:r w:rsidR="0035327E">
      <w:rPr>
        <w:b/>
        <w:caps/>
      </w:rPr>
      <w:t>Approved</w:t>
    </w:r>
    <w:r w:rsidR="00FB095D">
      <w:rPr>
        <w:b/>
        <w:caps/>
      </w:rPr>
      <w:fldChar w:fldCharType="end"/>
    </w:r>
    <w:r w:rsidR="00FB095D">
      <w:rPr>
        <w:b/>
        <w:caps/>
      </w:rPr>
      <w:tab/>
    </w:r>
    <w:r w:rsidR="00FB095D">
      <w:t xml:space="preserve">Document No.: </w:t>
    </w:r>
    <w:r w:rsidR="00FB095D">
      <w:rPr>
        <w:b/>
      </w:rPr>
      <w:fldChar w:fldCharType="begin"/>
    </w:r>
    <w:r w:rsidR="00FB095D">
      <w:rPr>
        <w:b/>
      </w:rPr>
      <w:instrText xml:space="preserve"> DOCPROPERTY "Document number"  \* MERGEFORMAT </w:instrText>
    </w:r>
    <w:r w:rsidR="00FB095D">
      <w:rPr>
        <w:b/>
      </w:rPr>
      <w:fldChar w:fldCharType="separate"/>
    </w:r>
    <w:r w:rsidR="0035327E">
      <w:rPr>
        <w:b/>
      </w:rPr>
      <w:t>ICD-1300-6136-01</w:t>
    </w:r>
    <w:r w:rsidR="00FB095D">
      <w:rPr>
        <w:b/>
      </w:rPr>
      <w:fldChar w:fldCharType="end"/>
    </w:r>
  </w:p>
  <w:p w:rsidR="00FB095D" w:rsidRDefault="00FB095D">
    <w:pPr>
      <w:pStyle w:val="Header"/>
      <w:pBdr>
        <w:top w:val="single" w:sz="4" w:space="1" w:color="auto"/>
        <w:bottom w:val="single" w:sz="4" w:space="0" w:color="auto"/>
      </w:pBdr>
    </w:pPr>
    <w:r>
      <w:tab/>
    </w:r>
    <w:r w:rsidR="00CA3CD1">
      <w:fldChar w:fldCharType="begin"/>
    </w:r>
    <w:r w:rsidR="00CA3CD1">
      <w:instrText xml:space="preserve"> DOCPROPE</w:instrText>
    </w:r>
    <w:r w:rsidR="00CA3CD1">
      <w:instrText xml:space="preserve">RTY "DocDate"  \* MERGEFORMAT </w:instrText>
    </w:r>
    <w:r w:rsidR="00CA3CD1">
      <w:fldChar w:fldCharType="separate"/>
    </w:r>
    <w:r w:rsidR="0035327E">
      <w:t>May 25, 2010</w:t>
    </w:r>
    <w:r w:rsidR="00CA3CD1">
      <w:fldChar w:fldCharType="end"/>
    </w:r>
    <w:r>
      <w:tab/>
    </w:r>
    <w:r>
      <w:rPr>
        <w:b/>
      </w:rPr>
      <w:fldChar w:fldCharType="begin"/>
    </w:r>
    <w:r>
      <w:rPr>
        <w:b/>
      </w:rPr>
      <w:instrText xml:space="preserve"> DOCPROPERTY "DocRevisionLtr"  \* MERGEFORMAT </w:instrText>
    </w:r>
    <w:r>
      <w:rPr>
        <w:b/>
      </w:rPr>
      <w:fldChar w:fldCharType="separate"/>
    </w:r>
    <w:r w:rsidR="0035327E">
      <w:rPr>
        <w:b/>
      </w:rPr>
      <w:t>Baseline</w:t>
    </w:r>
    <w:r>
      <w:rPr>
        <w:b/>
      </w:rPr>
      <w:fldChar w:fldCharType="end"/>
    </w:r>
  </w:p>
  <w:p w:rsidR="00FB095D" w:rsidRDefault="00FB0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1">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5760398"/>
    <w:multiLevelType w:val="singleLevel"/>
    <w:tmpl w:val="395E46D6"/>
    <w:lvl w:ilvl="0">
      <w:start w:val="1"/>
      <w:numFmt w:val="decimal"/>
      <w:lvlText w:val="%1."/>
      <w:legacy w:legacy="1" w:legacySpace="0" w:legacyIndent="360"/>
      <w:lvlJc w:val="left"/>
      <w:pPr>
        <w:ind w:left="792" w:hanging="360"/>
      </w:pPr>
    </w:lvl>
  </w:abstractNum>
  <w:abstractNum w:abstractNumId="13">
    <w:nsid w:val="25EB7293"/>
    <w:multiLevelType w:val="hybridMultilevel"/>
    <w:tmpl w:val="97483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6">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19">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1">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0"/>
  </w:num>
  <w:num w:numId="10">
    <w:abstractNumId w:val="16"/>
  </w:num>
  <w:num w:numId="11">
    <w:abstractNumId w:val="10"/>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21"/>
  </w:num>
  <w:num w:numId="21">
    <w:abstractNumId w:val="17"/>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1"/>
  </w:num>
  <w:num w:numId="24">
    <w:abstractNumId w:val="18"/>
  </w:num>
  <w:num w:numId="25">
    <w:abstractNumId w:val="12"/>
  </w:num>
  <w:num w:numId="26">
    <w:abstractNumId w:val="3"/>
  </w:num>
  <w:num w:numId="27">
    <w:abstractNumId w:val="19"/>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0E4B"/>
    <w:rsid w:val="000059F6"/>
    <w:rsid w:val="00014AED"/>
    <w:rsid w:val="00015956"/>
    <w:rsid w:val="00017F29"/>
    <w:rsid w:val="0002058B"/>
    <w:rsid w:val="00022A29"/>
    <w:rsid w:val="000250D1"/>
    <w:rsid w:val="000322B4"/>
    <w:rsid w:val="0003250D"/>
    <w:rsid w:val="00032AA9"/>
    <w:rsid w:val="000414B5"/>
    <w:rsid w:val="0004160D"/>
    <w:rsid w:val="000418B2"/>
    <w:rsid w:val="00043230"/>
    <w:rsid w:val="00044A74"/>
    <w:rsid w:val="00045EDD"/>
    <w:rsid w:val="000547C2"/>
    <w:rsid w:val="0005544A"/>
    <w:rsid w:val="00060A3E"/>
    <w:rsid w:val="000615DA"/>
    <w:rsid w:val="00062407"/>
    <w:rsid w:val="00066323"/>
    <w:rsid w:val="000702A2"/>
    <w:rsid w:val="00081083"/>
    <w:rsid w:val="00083354"/>
    <w:rsid w:val="0009183C"/>
    <w:rsid w:val="00094846"/>
    <w:rsid w:val="000A2CCE"/>
    <w:rsid w:val="000A7DAB"/>
    <w:rsid w:val="000B0423"/>
    <w:rsid w:val="000B19E5"/>
    <w:rsid w:val="000B314D"/>
    <w:rsid w:val="000B466C"/>
    <w:rsid w:val="000B5AD0"/>
    <w:rsid w:val="000B7A82"/>
    <w:rsid w:val="000C0670"/>
    <w:rsid w:val="000C2A52"/>
    <w:rsid w:val="000C3D7A"/>
    <w:rsid w:val="000C4C7C"/>
    <w:rsid w:val="000C598A"/>
    <w:rsid w:val="000C676E"/>
    <w:rsid w:val="000C7738"/>
    <w:rsid w:val="000C77F9"/>
    <w:rsid w:val="000E0414"/>
    <w:rsid w:val="000E2CCA"/>
    <w:rsid w:val="000F133C"/>
    <w:rsid w:val="000F34D7"/>
    <w:rsid w:val="000F4C0A"/>
    <w:rsid w:val="000F519D"/>
    <w:rsid w:val="000F7277"/>
    <w:rsid w:val="00105547"/>
    <w:rsid w:val="00124043"/>
    <w:rsid w:val="001275D7"/>
    <w:rsid w:val="00131B41"/>
    <w:rsid w:val="0013218C"/>
    <w:rsid w:val="0013723D"/>
    <w:rsid w:val="001400F0"/>
    <w:rsid w:val="00140DC6"/>
    <w:rsid w:val="00145189"/>
    <w:rsid w:val="00146C15"/>
    <w:rsid w:val="001504FC"/>
    <w:rsid w:val="00150E3F"/>
    <w:rsid w:val="001520BB"/>
    <w:rsid w:val="00155EEE"/>
    <w:rsid w:val="00155F4A"/>
    <w:rsid w:val="001608EA"/>
    <w:rsid w:val="00160EBD"/>
    <w:rsid w:val="00163BF1"/>
    <w:rsid w:val="00164059"/>
    <w:rsid w:val="00164FAD"/>
    <w:rsid w:val="0016609E"/>
    <w:rsid w:val="00166EA9"/>
    <w:rsid w:val="00177B80"/>
    <w:rsid w:val="00187871"/>
    <w:rsid w:val="001911F9"/>
    <w:rsid w:val="00194086"/>
    <w:rsid w:val="00196D16"/>
    <w:rsid w:val="00197CC8"/>
    <w:rsid w:val="001A0016"/>
    <w:rsid w:val="001A31F3"/>
    <w:rsid w:val="001A7BB5"/>
    <w:rsid w:val="001B0F48"/>
    <w:rsid w:val="001B131C"/>
    <w:rsid w:val="001B745C"/>
    <w:rsid w:val="001C7507"/>
    <w:rsid w:val="001D203C"/>
    <w:rsid w:val="001D700F"/>
    <w:rsid w:val="001D7AB9"/>
    <w:rsid w:val="001E070C"/>
    <w:rsid w:val="001E230C"/>
    <w:rsid w:val="001E5F93"/>
    <w:rsid w:val="001F16F9"/>
    <w:rsid w:val="001F7FEA"/>
    <w:rsid w:val="00201B28"/>
    <w:rsid w:val="002025F2"/>
    <w:rsid w:val="00206EE9"/>
    <w:rsid w:val="0021565E"/>
    <w:rsid w:val="00222D9D"/>
    <w:rsid w:val="00226D7C"/>
    <w:rsid w:val="00230AA0"/>
    <w:rsid w:val="0023145E"/>
    <w:rsid w:val="00233954"/>
    <w:rsid w:val="00234F68"/>
    <w:rsid w:val="00236363"/>
    <w:rsid w:val="002412AB"/>
    <w:rsid w:val="00241BE2"/>
    <w:rsid w:val="00244ADA"/>
    <w:rsid w:val="00246A18"/>
    <w:rsid w:val="002518E4"/>
    <w:rsid w:val="00254FF7"/>
    <w:rsid w:val="0026125D"/>
    <w:rsid w:val="0026386B"/>
    <w:rsid w:val="00281C32"/>
    <w:rsid w:val="00290430"/>
    <w:rsid w:val="002A0439"/>
    <w:rsid w:val="002A068D"/>
    <w:rsid w:val="002A19AE"/>
    <w:rsid w:val="002A3A1D"/>
    <w:rsid w:val="002B31A3"/>
    <w:rsid w:val="002B3DB4"/>
    <w:rsid w:val="002B6E8E"/>
    <w:rsid w:val="002C02FB"/>
    <w:rsid w:val="002C13A2"/>
    <w:rsid w:val="002C6FA7"/>
    <w:rsid w:val="002C78C4"/>
    <w:rsid w:val="002D0799"/>
    <w:rsid w:val="002E5324"/>
    <w:rsid w:val="002E653C"/>
    <w:rsid w:val="002F0C1F"/>
    <w:rsid w:val="002F279E"/>
    <w:rsid w:val="002F7E0E"/>
    <w:rsid w:val="003014D1"/>
    <w:rsid w:val="00311511"/>
    <w:rsid w:val="00316E44"/>
    <w:rsid w:val="0032597A"/>
    <w:rsid w:val="00327D95"/>
    <w:rsid w:val="00330F7D"/>
    <w:rsid w:val="0033171E"/>
    <w:rsid w:val="00331BEA"/>
    <w:rsid w:val="0033335A"/>
    <w:rsid w:val="003353BB"/>
    <w:rsid w:val="00337546"/>
    <w:rsid w:val="00337AD0"/>
    <w:rsid w:val="00340A98"/>
    <w:rsid w:val="00341673"/>
    <w:rsid w:val="00344F63"/>
    <w:rsid w:val="0034517E"/>
    <w:rsid w:val="003515A5"/>
    <w:rsid w:val="0035327E"/>
    <w:rsid w:val="003560E2"/>
    <w:rsid w:val="00372460"/>
    <w:rsid w:val="00373F9F"/>
    <w:rsid w:val="003751D6"/>
    <w:rsid w:val="00377752"/>
    <w:rsid w:val="00387552"/>
    <w:rsid w:val="003A01DA"/>
    <w:rsid w:val="003A088E"/>
    <w:rsid w:val="003A2349"/>
    <w:rsid w:val="003A2C78"/>
    <w:rsid w:val="003A2D36"/>
    <w:rsid w:val="003A54BF"/>
    <w:rsid w:val="003B3149"/>
    <w:rsid w:val="003B4783"/>
    <w:rsid w:val="003B73F8"/>
    <w:rsid w:val="003C29BE"/>
    <w:rsid w:val="003C54D3"/>
    <w:rsid w:val="003D0D92"/>
    <w:rsid w:val="003D1069"/>
    <w:rsid w:val="003D3B8C"/>
    <w:rsid w:val="003D3E0E"/>
    <w:rsid w:val="003D7CC0"/>
    <w:rsid w:val="003E449A"/>
    <w:rsid w:val="003E7CB2"/>
    <w:rsid w:val="003E7E5D"/>
    <w:rsid w:val="003E7F90"/>
    <w:rsid w:val="00401212"/>
    <w:rsid w:val="0040272D"/>
    <w:rsid w:val="00404BB3"/>
    <w:rsid w:val="004126BD"/>
    <w:rsid w:val="00422AA0"/>
    <w:rsid w:val="0043046B"/>
    <w:rsid w:val="0043198E"/>
    <w:rsid w:val="004324FC"/>
    <w:rsid w:val="00433205"/>
    <w:rsid w:val="00436947"/>
    <w:rsid w:val="00441380"/>
    <w:rsid w:val="00442875"/>
    <w:rsid w:val="00443C0A"/>
    <w:rsid w:val="004461FE"/>
    <w:rsid w:val="004506C7"/>
    <w:rsid w:val="00453D81"/>
    <w:rsid w:val="0045453F"/>
    <w:rsid w:val="00457D16"/>
    <w:rsid w:val="004604B9"/>
    <w:rsid w:val="0046270F"/>
    <w:rsid w:val="00462906"/>
    <w:rsid w:val="00465A0E"/>
    <w:rsid w:val="00475C0F"/>
    <w:rsid w:val="0048182B"/>
    <w:rsid w:val="004823CC"/>
    <w:rsid w:val="00486651"/>
    <w:rsid w:val="0048692F"/>
    <w:rsid w:val="004933CD"/>
    <w:rsid w:val="0049563E"/>
    <w:rsid w:val="00496831"/>
    <w:rsid w:val="004A0572"/>
    <w:rsid w:val="004A101B"/>
    <w:rsid w:val="004A56CC"/>
    <w:rsid w:val="004A6431"/>
    <w:rsid w:val="004B1EB5"/>
    <w:rsid w:val="004B2433"/>
    <w:rsid w:val="004B7E47"/>
    <w:rsid w:val="004C4C50"/>
    <w:rsid w:val="004C6D59"/>
    <w:rsid w:val="004D4899"/>
    <w:rsid w:val="004D6203"/>
    <w:rsid w:val="004D6547"/>
    <w:rsid w:val="004E0A0A"/>
    <w:rsid w:val="004E38BE"/>
    <w:rsid w:val="004F2E91"/>
    <w:rsid w:val="004F6E03"/>
    <w:rsid w:val="0050508A"/>
    <w:rsid w:val="0050610B"/>
    <w:rsid w:val="00513F46"/>
    <w:rsid w:val="00515D2C"/>
    <w:rsid w:val="00525435"/>
    <w:rsid w:val="00531337"/>
    <w:rsid w:val="0054266E"/>
    <w:rsid w:val="0054301B"/>
    <w:rsid w:val="00543F6C"/>
    <w:rsid w:val="00545F64"/>
    <w:rsid w:val="00546051"/>
    <w:rsid w:val="005507DC"/>
    <w:rsid w:val="00555852"/>
    <w:rsid w:val="00555F77"/>
    <w:rsid w:val="00556380"/>
    <w:rsid w:val="00564296"/>
    <w:rsid w:val="00567264"/>
    <w:rsid w:val="00567A1A"/>
    <w:rsid w:val="005701CC"/>
    <w:rsid w:val="005738A6"/>
    <w:rsid w:val="00591BE7"/>
    <w:rsid w:val="005A0B88"/>
    <w:rsid w:val="005A3D6B"/>
    <w:rsid w:val="005B348A"/>
    <w:rsid w:val="005B5F95"/>
    <w:rsid w:val="005B7897"/>
    <w:rsid w:val="005C27E5"/>
    <w:rsid w:val="005C4EEF"/>
    <w:rsid w:val="005C72FE"/>
    <w:rsid w:val="005C7DAA"/>
    <w:rsid w:val="005D12B4"/>
    <w:rsid w:val="005F216C"/>
    <w:rsid w:val="005F25A1"/>
    <w:rsid w:val="005F5305"/>
    <w:rsid w:val="005F788D"/>
    <w:rsid w:val="00602457"/>
    <w:rsid w:val="006050AB"/>
    <w:rsid w:val="00610A57"/>
    <w:rsid w:val="00611042"/>
    <w:rsid w:val="006169E1"/>
    <w:rsid w:val="00620B40"/>
    <w:rsid w:val="00631342"/>
    <w:rsid w:val="006327BA"/>
    <w:rsid w:val="00632E08"/>
    <w:rsid w:val="00635034"/>
    <w:rsid w:val="00636B12"/>
    <w:rsid w:val="006374EE"/>
    <w:rsid w:val="00640C59"/>
    <w:rsid w:val="00641900"/>
    <w:rsid w:val="0064191B"/>
    <w:rsid w:val="006423EE"/>
    <w:rsid w:val="00643971"/>
    <w:rsid w:val="006517A1"/>
    <w:rsid w:val="00651BC3"/>
    <w:rsid w:val="006555B1"/>
    <w:rsid w:val="00656E6C"/>
    <w:rsid w:val="006570A0"/>
    <w:rsid w:val="00657997"/>
    <w:rsid w:val="00662A02"/>
    <w:rsid w:val="00664F49"/>
    <w:rsid w:val="00666C9B"/>
    <w:rsid w:val="00670265"/>
    <w:rsid w:val="00670D55"/>
    <w:rsid w:val="00677DC4"/>
    <w:rsid w:val="00683A13"/>
    <w:rsid w:val="00686884"/>
    <w:rsid w:val="00690E68"/>
    <w:rsid w:val="006922A8"/>
    <w:rsid w:val="00696FDD"/>
    <w:rsid w:val="00697308"/>
    <w:rsid w:val="006A0AD6"/>
    <w:rsid w:val="006B3F4F"/>
    <w:rsid w:val="006C106F"/>
    <w:rsid w:val="006C108C"/>
    <w:rsid w:val="006C707B"/>
    <w:rsid w:val="006C7167"/>
    <w:rsid w:val="006D0286"/>
    <w:rsid w:val="006D0422"/>
    <w:rsid w:val="006D1074"/>
    <w:rsid w:val="006D2931"/>
    <w:rsid w:val="006D3E7A"/>
    <w:rsid w:val="006E2918"/>
    <w:rsid w:val="006F31DE"/>
    <w:rsid w:val="006F5FAB"/>
    <w:rsid w:val="0071574B"/>
    <w:rsid w:val="00716544"/>
    <w:rsid w:val="00720F56"/>
    <w:rsid w:val="0072283F"/>
    <w:rsid w:val="00722A71"/>
    <w:rsid w:val="0073361F"/>
    <w:rsid w:val="00743043"/>
    <w:rsid w:val="00743B8C"/>
    <w:rsid w:val="00743E68"/>
    <w:rsid w:val="00744D5A"/>
    <w:rsid w:val="007464B5"/>
    <w:rsid w:val="00747FA6"/>
    <w:rsid w:val="00757B67"/>
    <w:rsid w:val="00762ACE"/>
    <w:rsid w:val="00763C0D"/>
    <w:rsid w:val="007648F9"/>
    <w:rsid w:val="00770500"/>
    <w:rsid w:val="00770DB9"/>
    <w:rsid w:val="007726B7"/>
    <w:rsid w:val="00780F34"/>
    <w:rsid w:val="00781269"/>
    <w:rsid w:val="0078215D"/>
    <w:rsid w:val="007844E6"/>
    <w:rsid w:val="00791F84"/>
    <w:rsid w:val="0079625B"/>
    <w:rsid w:val="007A6849"/>
    <w:rsid w:val="007B1FEB"/>
    <w:rsid w:val="007B2EB4"/>
    <w:rsid w:val="007B7F3F"/>
    <w:rsid w:val="007C39F2"/>
    <w:rsid w:val="007C6869"/>
    <w:rsid w:val="007D424D"/>
    <w:rsid w:val="007D47BF"/>
    <w:rsid w:val="007E1A1B"/>
    <w:rsid w:val="007E1D78"/>
    <w:rsid w:val="007E32ED"/>
    <w:rsid w:val="007E339B"/>
    <w:rsid w:val="007E7948"/>
    <w:rsid w:val="007F19FA"/>
    <w:rsid w:val="007F38F9"/>
    <w:rsid w:val="00804128"/>
    <w:rsid w:val="0080439C"/>
    <w:rsid w:val="008043A1"/>
    <w:rsid w:val="00805400"/>
    <w:rsid w:val="00806D76"/>
    <w:rsid w:val="0080723F"/>
    <w:rsid w:val="008134B0"/>
    <w:rsid w:val="00814DED"/>
    <w:rsid w:val="00815034"/>
    <w:rsid w:val="00821533"/>
    <w:rsid w:val="008232A0"/>
    <w:rsid w:val="00823BCC"/>
    <w:rsid w:val="00825558"/>
    <w:rsid w:val="00825696"/>
    <w:rsid w:val="0082687C"/>
    <w:rsid w:val="00826A12"/>
    <w:rsid w:val="00826C39"/>
    <w:rsid w:val="00826C4C"/>
    <w:rsid w:val="00827A2D"/>
    <w:rsid w:val="00831B45"/>
    <w:rsid w:val="00832D4B"/>
    <w:rsid w:val="0083309E"/>
    <w:rsid w:val="00833EDF"/>
    <w:rsid w:val="00835E34"/>
    <w:rsid w:val="00836DCB"/>
    <w:rsid w:val="00843D33"/>
    <w:rsid w:val="008521EC"/>
    <w:rsid w:val="008562FC"/>
    <w:rsid w:val="00862EA0"/>
    <w:rsid w:val="00870A3F"/>
    <w:rsid w:val="00877C56"/>
    <w:rsid w:val="008824B3"/>
    <w:rsid w:val="00885095"/>
    <w:rsid w:val="008902AD"/>
    <w:rsid w:val="008902C4"/>
    <w:rsid w:val="00893239"/>
    <w:rsid w:val="00893A0A"/>
    <w:rsid w:val="008A7003"/>
    <w:rsid w:val="008B0F06"/>
    <w:rsid w:val="008B10C9"/>
    <w:rsid w:val="008B7416"/>
    <w:rsid w:val="008C2704"/>
    <w:rsid w:val="008C3C54"/>
    <w:rsid w:val="008D0DA9"/>
    <w:rsid w:val="008D0F46"/>
    <w:rsid w:val="008D1479"/>
    <w:rsid w:val="008D27FE"/>
    <w:rsid w:val="008D6C27"/>
    <w:rsid w:val="008E6054"/>
    <w:rsid w:val="008F1F56"/>
    <w:rsid w:val="008F3E35"/>
    <w:rsid w:val="008F6AF1"/>
    <w:rsid w:val="00902DA1"/>
    <w:rsid w:val="0090796E"/>
    <w:rsid w:val="0091288C"/>
    <w:rsid w:val="00915470"/>
    <w:rsid w:val="00915DDF"/>
    <w:rsid w:val="0092130E"/>
    <w:rsid w:val="00921995"/>
    <w:rsid w:val="00925A93"/>
    <w:rsid w:val="00933146"/>
    <w:rsid w:val="00935281"/>
    <w:rsid w:val="009425FA"/>
    <w:rsid w:val="00952AEA"/>
    <w:rsid w:val="009552A0"/>
    <w:rsid w:val="00964032"/>
    <w:rsid w:val="00971809"/>
    <w:rsid w:val="00971A04"/>
    <w:rsid w:val="009749B0"/>
    <w:rsid w:val="009761D6"/>
    <w:rsid w:val="00980FAD"/>
    <w:rsid w:val="0098424E"/>
    <w:rsid w:val="009849B5"/>
    <w:rsid w:val="00987A9B"/>
    <w:rsid w:val="00992277"/>
    <w:rsid w:val="00992B5B"/>
    <w:rsid w:val="00994222"/>
    <w:rsid w:val="00995C2C"/>
    <w:rsid w:val="009967B2"/>
    <w:rsid w:val="00997E0D"/>
    <w:rsid w:val="009A4FEF"/>
    <w:rsid w:val="009A6E19"/>
    <w:rsid w:val="009B14C4"/>
    <w:rsid w:val="009C1E92"/>
    <w:rsid w:val="009C2C38"/>
    <w:rsid w:val="009D6BDD"/>
    <w:rsid w:val="009E3FE4"/>
    <w:rsid w:val="009E675D"/>
    <w:rsid w:val="009E7276"/>
    <w:rsid w:val="009E730A"/>
    <w:rsid w:val="009F5EEF"/>
    <w:rsid w:val="00A01E2E"/>
    <w:rsid w:val="00A07B0F"/>
    <w:rsid w:val="00A10784"/>
    <w:rsid w:val="00A161F8"/>
    <w:rsid w:val="00A3094C"/>
    <w:rsid w:val="00A31A1B"/>
    <w:rsid w:val="00A42626"/>
    <w:rsid w:val="00A45A20"/>
    <w:rsid w:val="00A46880"/>
    <w:rsid w:val="00A500C3"/>
    <w:rsid w:val="00A514AC"/>
    <w:rsid w:val="00A6378D"/>
    <w:rsid w:val="00A64AFE"/>
    <w:rsid w:val="00A704C7"/>
    <w:rsid w:val="00A74E2D"/>
    <w:rsid w:val="00A75BDE"/>
    <w:rsid w:val="00A75D17"/>
    <w:rsid w:val="00A830D6"/>
    <w:rsid w:val="00A84ABC"/>
    <w:rsid w:val="00A8737C"/>
    <w:rsid w:val="00A92099"/>
    <w:rsid w:val="00A95D24"/>
    <w:rsid w:val="00AA36D1"/>
    <w:rsid w:val="00AA3A89"/>
    <w:rsid w:val="00AA3B9C"/>
    <w:rsid w:val="00AB2A4D"/>
    <w:rsid w:val="00AC0413"/>
    <w:rsid w:val="00AC091D"/>
    <w:rsid w:val="00AC1C67"/>
    <w:rsid w:val="00AC3B43"/>
    <w:rsid w:val="00AC49D5"/>
    <w:rsid w:val="00AD2D07"/>
    <w:rsid w:val="00AD37ED"/>
    <w:rsid w:val="00AD4C10"/>
    <w:rsid w:val="00AD53F2"/>
    <w:rsid w:val="00AE5568"/>
    <w:rsid w:val="00AF1EA8"/>
    <w:rsid w:val="00AF1F32"/>
    <w:rsid w:val="00AF25FA"/>
    <w:rsid w:val="00AF52EC"/>
    <w:rsid w:val="00AF6BF6"/>
    <w:rsid w:val="00B019C4"/>
    <w:rsid w:val="00B03E1F"/>
    <w:rsid w:val="00B03F4C"/>
    <w:rsid w:val="00B07226"/>
    <w:rsid w:val="00B07496"/>
    <w:rsid w:val="00B15A98"/>
    <w:rsid w:val="00B238CE"/>
    <w:rsid w:val="00B26B45"/>
    <w:rsid w:val="00B3114E"/>
    <w:rsid w:val="00B32A0B"/>
    <w:rsid w:val="00B32CC1"/>
    <w:rsid w:val="00B330B7"/>
    <w:rsid w:val="00B332EB"/>
    <w:rsid w:val="00B36AAA"/>
    <w:rsid w:val="00B42DE3"/>
    <w:rsid w:val="00B43F11"/>
    <w:rsid w:val="00B4403D"/>
    <w:rsid w:val="00B4497C"/>
    <w:rsid w:val="00B51AA2"/>
    <w:rsid w:val="00B53998"/>
    <w:rsid w:val="00B54515"/>
    <w:rsid w:val="00B55D5F"/>
    <w:rsid w:val="00B615A1"/>
    <w:rsid w:val="00B63AF2"/>
    <w:rsid w:val="00B66712"/>
    <w:rsid w:val="00B70678"/>
    <w:rsid w:val="00B72969"/>
    <w:rsid w:val="00B74BCF"/>
    <w:rsid w:val="00B75976"/>
    <w:rsid w:val="00B75AA3"/>
    <w:rsid w:val="00B83101"/>
    <w:rsid w:val="00B8396F"/>
    <w:rsid w:val="00B84525"/>
    <w:rsid w:val="00B85750"/>
    <w:rsid w:val="00B869FC"/>
    <w:rsid w:val="00B95729"/>
    <w:rsid w:val="00B97CA5"/>
    <w:rsid w:val="00BA02AD"/>
    <w:rsid w:val="00BA2240"/>
    <w:rsid w:val="00BA3EC7"/>
    <w:rsid w:val="00BB22EB"/>
    <w:rsid w:val="00BB3E37"/>
    <w:rsid w:val="00BB4AC5"/>
    <w:rsid w:val="00BC0FBA"/>
    <w:rsid w:val="00BC2B91"/>
    <w:rsid w:val="00BC2BBE"/>
    <w:rsid w:val="00BC7D4B"/>
    <w:rsid w:val="00BD0A6A"/>
    <w:rsid w:val="00BE1C3D"/>
    <w:rsid w:val="00BE22E6"/>
    <w:rsid w:val="00BE311D"/>
    <w:rsid w:val="00BE313A"/>
    <w:rsid w:val="00BE4FAB"/>
    <w:rsid w:val="00BE706C"/>
    <w:rsid w:val="00BE75ED"/>
    <w:rsid w:val="00BF4FF6"/>
    <w:rsid w:val="00BF5210"/>
    <w:rsid w:val="00BF750D"/>
    <w:rsid w:val="00BF7877"/>
    <w:rsid w:val="00C031FC"/>
    <w:rsid w:val="00C164DC"/>
    <w:rsid w:val="00C17C50"/>
    <w:rsid w:val="00C20382"/>
    <w:rsid w:val="00C335AE"/>
    <w:rsid w:val="00C46D84"/>
    <w:rsid w:val="00C50EA5"/>
    <w:rsid w:val="00C5616D"/>
    <w:rsid w:val="00C578C8"/>
    <w:rsid w:val="00C60728"/>
    <w:rsid w:val="00C61815"/>
    <w:rsid w:val="00C7438C"/>
    <w:rsid w:val="00C74A82"/>
    <w:rsid w:val="00C75323"/>
    <w:rsid w:val="00C813BE"/>
    <w:rsid w:val="00C81887"/>
    <w:rsid w:val="00C83C9F"/>
    <w:rsid w:val="00C95A58"/>
    <w:rsid w:val="00C95E33"/>
    <w:rsid w:val="00C97A0D"/>
    <w:rsid w:val="00CA0499"/>
    <w:rsid w:val="00CA06AE"/>
    <w:rsid w:val="00CA1141"/>
    <w:rsid w:val="00CA3CD1"/>
    <w:rsid w:val="00CA52C1"/>
    <w:rsid w:val="00CB3071"/>
    <w:rsid w:val="00CB3168"/>
    <w:rsid w:val="00CB67D1"/>
    <w:rsid w:val="00CB6A55"/>
    <w:rsid w:val="00CC767B"/>
    <w:rsid w:val="00CD1090"/>
    <w:rsid w:val="00CD14B1"/>
    <w:rsid w:val="00CD30EA"/>
    <w:rsid w:val="00CD634D"/>
    <w:rsid w:val="00CE0603"/>
    <w:rsid w:val="00CF0A96"/>
    <w:rsid w:val="00CF2A3F"/>
    <w:rsid w:val="00CF3971"/>
    <w:rsid w:val="00CF4CD9"/>
    <w:rsid w:val="00CF65C6"/>
    <w:rsid w:val="00D00C02"/>
    <w:rsid w:val="00D0166C"/>
    <w:rsid w:val="00D02F00"/>
    <w:rsid w:val="00D0366D"/>
    <w:rsid w:val="00D03780"/>
    <w:rsid w:val="00D135EC"/>
    <w:rsid w:val="00D1463A"/>
    <w:rsid w:val="00D14A20"/>
    <w:rsid w:val="00D15B4B"/>
    <w:rsid w:val="00D1794F"/>
    <w:rsid w:val="00D204AB"/>
    <w:rsid w:val="00D21AE4"/>
    <w:rsid w:val="00D231BC"/>
    <w:rsid w:val="00D31B70"/>
    <w:rsid w:val="00D34F97"/>
    <w:rsid w:val="00D36317"/>
    <w:rsid w:val="00D434A0"/>
    <w:rsid w:val="00D44635"/>
    <w:rsid w:val="00D45AEA"/>
    <w:rsid w:val="00D45F71"/>
    <w:rsid w:val="00D5484A"/>
    <w:rsid w:val="00D56B02"/>
    <w:rsid w:val="00D61F3D"/>
    <w:rsid w:val="00D66762"/>
    <w:rsid w:val="00D72624"/>
    <w:rsid w:val="00D73D42"/>
    <w:rsid w:val="00D75E33"/>
    <w:rsid w:val="00D76C1C"/>
    <w:rsid w:val="00D8155D"/>
    <w:rsid w:val="00D81CCE"/>
    <w:rsid w:val="00D90E1B"/>
    <w:rsid w:val="00D93E0D"/>
    <w:rsid w:val="00D96479"/>
    <w:rsid w:val="00D97B57"/>
    <w:rsid w:val="00DA3492"/>
    <w:rsid w:val="00DA6BAF"/>
    <w:rsid w:val="00DB04B7"/>
    <w:rsid w:val="00DB18D2"/>
    <w:rsid w:val="00DB3AAE"/>
    <w:rsid w:val="00DB4CD7"/>
    <w:rsid w:val="00DB4DD3"/>
    <w:rsid w:val="00DB4F08"/>
    <w:rsid w:val="00DB5520"/>
    <w:rsid w:val="00DB6574"/>
    <w:rsid w:val="00DB6BEB"/>
    <w:rsid w:val="00DC1763"/>
    <w:rsid w:val="00DC6266"/>
    <w:rsid w:val="00DC71E7"/>
    <w:rsid w:val="00DD121B"/>
    <w:rsid w:val="00DD4B74"/>
    <w:rsid w:val="00DE1CBE"/>
    <w:rsid w:val="00DE1F09"/>
    <w:rsid w:val="00DE77F8"/>
    <w:rsid w:val="00DF0789"/>
    <w:rsid w:val="00DF199A"/>
    <w:rsid w:val="00DF2B1B"/>
    <w:rsid w:val="00DF35C2"/>
    <w:rsid w:val="00DF6E36"/>
    <w:rsid w:val="00E0441D"/>
    <w:rsid w:val="00E05666"/>
    <w:rsid w:val="00E05667"/>
    <w:rsid w:val="00E0649E"/>
    <w:rsid w:val="00E07F97"/>
    <w:rsid w:val="00E101C2"/>
    <w:rsid w:val="00E108D3"/>
    <w:rsid w:val="00E10BD2"/>
    <w:rsid w:val="00E11A9C"/>
    <w:rsid w:val="00E14BBF"/>
    <w:rsid w:val="00E15C45"/>
    <w:rsid w:val="00E21D6D"/>
    <w:rsid w:val="00E21E45"/>
    <w:rsid w:val="00E2253B"/>
    <w:rsid w:val="00E22D0B"/>
    <w:rsid w:val="00E23A55"/>
    <w:rsid w:val="00E319FE"/>
    <w:rsid w:val="00E321BE"/>
    <w:rsid w:val="00E32E24"/>
    <w:rsid w:val="00E52F45"/>
    <w:rsid w:val="00E56F99"/>
    <w:rsid w:val="00E6295E"/>
    <w:rsid w:val="00E638F8"/>
    <w:rsid w:val="00E63FA4"/>
    <w:rsid w:val="00E65DD5"/>
    <w:rsid w:val="00E7382A"/>
    <w:rsid w:val="00E743D9"/>
    <w:rsid w:val="00E76410"/>
    <w:rsid w:val="00E76761"/>
    <w:rsid w:val="00E76C9C"/>
    <w:rsid w:val="00E80FE4"/>
    <w:rsid w:val="00E81788"/>
    <w:rsid w:val="00E8335F"/>
    <w:rsid w:val="00E83C75"/>
    <w:rsid w:val="00E914AB"/>
    <w:rsid w:val="00E94CE5"/>
    <w:rsid w:val="00E95E69"/>
    <w:rsid w:val="00EA1988"/>
    <w:rsid w:val="00EA19EF"/>
    <w:rsid w:val="00EA6765"/>
    <w:rsid w:val="00EA7B80"/>
    <w:rsid w:val="00EB19D5"/>
    <w:rsid w:val="00EB1A36"/>
    <w:rsid w:val="00EB271F"/>
    <w:rsid w:val="00EB460A"/>
    <w:rsid w:val="00EB700C"/>
    <w:rsid w:val="00EB7789"/>
    <w:rsid w:val="00EC2801"/>
    <w:rsid w:val="00EC6694"/>
    <w:rsid w:val="00ED178C"/>
    <w:rsid w:val="00ED5892"/>
    <w:rsid w:val="00ED7C7C"/>
    <w:rsid w:val="00EE7D4D"/>
    <w:rsid w:val="00EF2F7B"/>
    <w:rsid w:val="00F04B8E"/>
    <w:rsid w:val="00F0688C"/>
    <w:rsid w:val="00F07F38"/>
    <w:rsid w:val="00F16EFA"/>
    <w:rsid w:val="00F173DF"/>
    <w:rsid w:val="00F21BC7"/>
    <w:rsid w:val="00F31106"/>
    <w:rsid w:val="00F31546"/>
    <w:rsid w:val="00F40A28"/>
    <w:rsid w:val="00F42BCE"/>
    <w:rsid w:val="00F43FCB"/>
    <w:rsid w:val="00F443F0"/>
    <w:rsid w:val="00F6153E"/>
    <w:rsid w:val="00F65D1C"/>
    <w:rsid w:val="00F65DF8"/>
    <w:rsid w:val="00F6657E"/>
    <w:rsid w:val="00F672D2"/>
    <w:rsid w:val="00F72DEB"/>
    <w:rsid w:val="00F77C81"/>
    <w:rsid w:val="00F83E45"/>
    <w:rsid w:val="00F91A09"/>
    <w:rsid w:val="00F9237E"/>
    <w:rsid w:val="00F964A6"/>
    <w:rsid w:val="00FA1BA4"/>
    <w:rsid w:val="00FA3785"/>
    <w:rsid w:val="00FA4100"/>
    <w:rsid w:val="00FA632E"/>
    <w:rsid w:val="00FB095D"/>
    <w:rsid w:val="00FB32FF"/>
    <w:rsid w:val="00FB5FEC"/>
    <w:rsid w:val="00FB6B93"/>
    <w:rsid w:val="00FC484B"/>
    <w:rsid w:val="00FC7CD0"/>
    <w:rsid w:val="00FD1929"/>
    <w:rsid w:val="00FD227A"/>
    <w:rsid w:val="00FD30F5"/>
    <w:rsid w:val="00FD346F"/>
    <w:rsid w:val="00FD3CA6"/>
    <w:rsid w:val="00FD3FA5"/>
    <w:rsid w:val="00FE4683"/>
    <w:rsid w:val="00FE5BFF"/>
    <w:rsid w:val="00FF5914"/>
    <w:rsid w:val="00FF62E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584">
      <w:bodyDiv w:val="1"/>
      <w:marLeft w:val="0"/>
      <w:marRight w:val="0"/>
      <w:marTop w:val="0"/>
      <w:marBottom w:val="0"/>
      <w:divBdr>
        <w:top w:val="none" w:sz="0" w:space="0" w:color="auto"/>
        <w:left w:val="none" w:sz="0" w:space="0" w:color="auto"/>
        <w:bottom w:val="none" w:sz="0" w:space="0" w:color="auto"/>
        <w:right w:val="none" w:sz="0" w:space="0" w:color="auto"/>
      </w:divBdr>
    </w:div>
    <w:div w:id="62722181">
      <w:bodyDiv w:val="1"/>
      <w:marLeft w:val="0"/>
      <w:marRight w:val="0"/>
      <w:marTop w:val="0"/>
      <w:marBottom w:val="0"/>
      <w:divBdr>
        <w:top w:val="none" w:sz="0" w:space="0" w:color="auto"/>
        <w:left w:val="none" w:sz="0" w:space="0" w:color="auto"/>
        <w:bottom w:val="none" w:sz="0" w:space="0" w:color="auto"/>
        <w:right w:val="none" w:sz="0" w:space="0" w:color="auto"/>
      </w:divBdr>
    </w:div>
    <w:div w:id="85923248">
      <w:bodyDiv w:val="1"/>
      <w:marLeft w:val="0"/>
      <w:marRight w:val="0"/>
      <w:marTop w:val="0"/>
      <w:marBottom w:val="0"/>
      <w:divBdr>
        <w:top w:val="none" w:sz="0" w:space="0" w:color="auto"/>
        <w:left w:val="none" w:sz="0" w:space="0" w:color="auto"/>
        <w:bottom w:val="none" w:sz="0" w:space="0" w:color="auto"/>
        <w:right w:val="none" w:sz="0" w:space="0" w:color="auto"/>
      </w:divBdr>
    </w:div>
    <w:div w:id="155001543">
      <w:bodyDiv w:val="1"/>
      <w:marLeft w:val="0"/>
      <w:marRight w:val="0"/>
      <w:marTop w:val="0"/>
      <w:marBottom w:val="0"/>
      <w:divBdr>
        <w:top w:val="none" w:sz="0" w:space="0" w:color="auto"/>
        <w:left w:val="none" w:sz="0" w:space="0" w:color="auto"/>
        <w:bottom w:val="none" w:sz="0" w:space="0" w:color="auto"/>
        <w:right w:val="none" w:sz="0" w:space="0" w:color="auto"/>
      </w:divBdr>
    </w:div>
    <w:div w:id="162939733">
      <w:bodyDiv w:val="1"/>
      <w:marLeft w:val="0"/>
      <w:marRight w:val="0"/>
      <w:marTop w:val="0"/>
      <w:marBottom w:val="0"/>
      <w:divBdr>
        <w:top w:val="none" w:sz="0" w:space="0" w:color="auto"/>
        <w:left w:val="none" w:sz="0" w:space="0" w:color="auto"/>
        <w:bottom w:val="none" w:sz="0" w:space="0" w:color="auto"/>
        <w:right w:val="none" w:sz="0" w:space="0" w:color="auto"/>
      </w:divBdr>
    </w:div>
    <w:div w:id="178324291">
      <w:bodyDiv w:val="1"/>
      <w:marLeft w:val="0"/>
      <w:marRight w:val="0"/>
      <w:marTop w:val="0"/>
      <w:marBottom w:val="0"/>
      <w:divBdr>
        <w:top w:val="none" w:sz="0" w:space="0" w:color="auto"/>
        <w:left w:val="none" w:sz="0" w:space="0" w:color="auto"/>
        <w:bottom w:val="none" w:sz="0" w:space="0" w:color="auto"/>
        <w:right w:val="none" w:sz="0" w:space="0" w:color="auto"/>
      </w:divBdr>
    </w:div>
    <w:div w:id="187911430">
      <w:bodyDiv w:val="1"/>
      <w:marLeft w:val="0"/>
      <w:marRight w:val="0"/>
      <w:marTop w:val="0"/>
      <w:marBottom w:val="0"/>
      <w:divBdr>
        <w:top w:val="none" w:sz="0" w:space="0" w:color="auto"/>
        <w:left w:val="none" w:sz="0" w:space="0" w:color="auto"/>
        <w:bottom w:val="none" w:sz="0" w:space="0" w:color="auto"/>
        <w:right w:val="none" w:sz="0" w:space="0" w:color="auto"/>
      </w:divBdr>
    </w:div>
    <w:div w:id="206575550">
      <w:bodyDiv w:val="1"/>
      <w:marLeft w:val="0"/>
      <w:marRight w:val="0"/>
      <w:marTop w:val="0"/>
      <w:marBottom w:val="0"/>
      <w:divBdr>
        <w:top w:val="none" w:sz="0" w:space="0" w:color="auto"/>
        <w:left w:val="none" w:sz="0" w:space="0" w:color="auto"/>
        <w:bottom w:val="none" w:sz="0" w:space="0" w:color="auto"/>
        <w:right w:val="none" w:sz="0" w:space="0" w:color="auto"/>
      </w:divBdr>
    </w:div>
    <w:div w:id="218829655">
      <w:bodyDiv w:val="1"/>
      <w:marLeft w:val="0"/>
      <w:marRight w:val="0"/>
      <w:marTop w:val="0"/>
      <w:marBottom w:val="0"/>
      <w:divBdr>
        <w:top w:val="none" w:sz="0" w:space="0" w:color="auto"/>
        <w:left w:val="none" w:sz="0" w:space="0" w:color="auto"/>
        <w:bottom w:val="none" w:sz="0" w:space="0" w:color="auto"/>
        <w:right w:val="none" w:sz="0" w:space="0" w:color="auto"/>
      </w:divBdr>
    </w:div>
    <w:div w:id="219750808">
      <w:bodyDiv w:val="1"/>
      <w:marLeft w:val="0"/>
      <w:marRight w:val="0"/>
      <w:marTop w:val="0"/>
      <w:marBottom w:val="0"/>
      <w:divBdr>
        <w:top w:val="none" w:sz="0" w:space="0" w:color="auto"/>
        <w:left w:val="none" w:sz="0" w:space="0" w:color="auto"/>
        <w:bottom w:val="none" w:sz="0" w:space="0" w:color="auto"/>
        <w:right w:val="none" w:sz="0" w:space="0" w:color="auto"/>
      </w:divBdr>
    </w:div>
    <w:div w:id="241111332">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77108587">
      <w:bodyDiv w:val="1"/>
      <w:marLeft w:val="0"/>
      <w:marRight w:val="0"/>
      <w:marTop w:val="0"/>
      <w:marBottom w:val="0"/>
      <w:divBdr>
        <w:top w:val="none" w:sz="0" w:space="0" w:color="auto"/>
        <w:left w:val="none" w:sz="0" w:space="0" w:color="auto"/>
        <w:bottom w:val="none" w:sz="0" w:space="0" w:color="auto"/>
        <w:right w:val="none" w:sz="0" w:space="0" w:color="auto"/>
      </w:divBdr>
    </w:div>
    <w:div w:id="337661098">
      <w:bodyDiv w:val="1"/>
      <w:marLeft w:val="0"/>
      <w:marRight w:val="0"/>
      <w:marTop w:val="0"/>
      <w:marBottom w:val="0"/>
      <w:divBdr>
        <w:top w:val="none" w:sz="0" w:space="0" w:color="auto"/>
        <w:left w:val="none" w:sz="0" w:space="0" w:color="auto"/>
        <w:bottom w:val="none" w:sz="0" w:space="0" w:color="auto"/>
        <w:right w:val="none" w:sz="0" w:space="0" w:color="auto"/>
      </w:divBdr>
    </w:div>
    <w:div w:id="376509756">
      <w:bodyDiv w:val="1"/>
      <w:marLeft w:val="0"/>
      <w:marRight w:val="0"/>
      <w:marTop w:val="0"/>
      <w:marBottom w:val="0"/>
      <w:divBdr>
        <w:top w:val="none" w:sz="0" w:space="0" w:color="auto"/>
        <w:left w:val="none" w:sz="0" w:space="0" w:color="auto"/>
        <w:bottom w:val="none" w:sz="0" w:space="0" w:color="auto"/>
        <w:right w:val="none" w:sz="0" w:space="0" w:color="auto"/>
      </w:divBdr>
    </w:div>
    <w:div w:id="388964226">
      <w:bodyDiv w:val="1"/>
      <w:marLeft w:val="0"/>
      <w:marRight w:val="0"/>
      <w:marTop w:val="0"/>
      <w:marBottom w:val="0"/>
      <w:divBdr>
        <w:top w:val="none" w:sz="0" w:space="0" w:color="auto"/>
        <w:left w:val="none" w:sz="0" w:space="0" w:color="auto"/>
        <w:bottom w:val="none" w:sz="0" w:space="0" w:color="auto"/>
        <w:right w:val="none" w:sz="0" w:space="0" w:color="auto"/>
      </w:divBdr>
    </w:div>
    <w:div w:id="390269844">
      <w:bodyDiv w:val="1"/>
      <w:marLeft w:val="0"/>
      <w:marRight w:val="0"/>
      <w:marTop w:val="0"/>
      <w:marBottom w:val="0"/>
      <w:divBdr>
        <w:top w:val="none" w:sz="0" w:space="0" w:color="auto"/>
        <w:left w:val="none" w:sz="0" w:space="0" w:color="auto"/>
        <w:bottom w:val="none" w:sz="0" w:space="0" w:color="auto"/>
        <w:right w:val="none" w:sz="0" w:space="0" w:color="auto"/>
      </w:divBdr>
    </w:div>
    <w:div w:id="392044479">
      <w:bodyDiv w:val="1"/>
      <w:marLeft w:val="0"/>
      <w:marRight w:val="0"/>
      <w:marTop w:val="0"/>
      <w:marBottom w:val="0"/>
      <w:divBdr>
        <w:top w:val="none" w:sz="0" w:space="0" w:color="auto"/>
        <w:left w:val="none" w:sz="0" w:space="0" w:color="auto"/>
        <w:bottom w:val="none" w:sz="0" w:space="0" w:color="auto"/>
        <w:right w:val="none" w:sz="0" w:space="0" w:color="auto"/>
      </w:divBdr>
    </w:div>
    <w:div w:id="393620866">
      <w:bodyDiv w:val="1"/>
      <w:marLeft w:val="0"/>
      <w:marRight w:val="0"/>
      <w:marTop w:val="0"/>
      <w:marBottom w:val="0"/>
      <w:divBdr>
        <w:top w:val="none" w:sz="0" w:space="0" w:color="auto"/>
        <w:left w:val="none" w:sz="0" w:space="0" w:color="auto"/>
        <w:bottom w:val="none" w:sz="0" w:space="0" w:color="auto"/>
        <w:right w:val="none" w:sz="0" w:space="0" w:color="auto"/>
      </w:divBdr>
    </w:div>
    <w:div w:id="396628441">
      <w:bodyDiv w:val="1"/>
      <w:marLeft w:val="0"/>
      <w:marRight w:val="0"/>
      <w:marTop w:val="0"/>
      <w:marBottom w:val="0"/>
      <w:divBdr>
        <w:top w:val="none" w:sz="0" w:space="0" w:color="auto"/>
        <w:left w:val="none" w:sz="0" w:space="0" w:color="auto"/>
        <w:bottom w:val="none" w:sz="0" w:space="0" w:color="auto"/>
        <w:right w:val="none" w:sz="0" w:space="0" w:color="auto"/>
      </w:divBdr>
    </w:div>
    <w:div w:id="467209769">
      <w:bodyDiv w:val="1"/>
      <w:marLeft w:val="0"/>
      <w:marRight w:val="0"/>
      <w:marTop w:val="0"/>
      <w:marBottom w:val="0"/>
      <w:divBdr>
        <w:top w:val="none" w:sz="0" w:space="0" w:color="auto"/>
        <w:left w:val="none" w:sz="0" w:space="0" w:color="auto"/>
        <w:bottom w:val="none" w:sz="0" w:space="0" w:color="auto"/>
        <w:right w:val="none" w:sz="0" w:space="0" w:color="auto"/>
      </w:divBdr>
    </w:div>
    <w:div w:id="513157432">
      <w:bodyDiv w:val="1"/>
      <w:marLeft w:val="0"/>
      <w:marRight w:val="0"/>
      <w:marTop w:val="0"/>
      <w:marBottom w:val="0"/>
      <w:divBdr>
        <w:top w:val="none" w:sz="0" w:space="0" w:color="auto"/>
        <w:left w:val="none" w:sz="0" w:space="0" w:color="auto"/>
        <w:bottom w:val="none" w:sz="0" w:space="0" w:color="auto"/>
        <w:right w:val="none" w:sz="0" w:space="0" w:color="auto"/>
      </w:divBdr>
    </w:div>
    <w:div w:id="546602696">
      <w:bodyDiv w:val="1"/>
      <w:marLeft w:val="0"/>
      <w:marRight w:val="0"/>
      <w:marTop w:val="0"/>
      <w:marBottom w:val="0"/>
      <w:divBdr>
        <w:top w:val="none" w:sz="0" w:space="0" w:color="auto"/>
        <w:left w:val="none" w:sz="0" w:space="0" w:color="auto"/>
        <w:bottom w:val="none" w:sz="0" w:space="0" w:color="auto"/>
        <w:right w:val="none" w:sz="0" w:space="0" w:color="auto"/>
      </w:divBdr>
    </w:div>
    <w:div w:id="583878285">
      <w:bodyDiv w:val="1"/>
      <w:marLeft w:val="0"/>
      <w:marRight w:val="0"/>
      <w:marTop w:val="0"/>
      <w:marBottom w:val="0"/>
      <w:divBdr>
        <w:top w:val="none" w:sz="0" w:space="0" w:color="auto"/>
        <w:left w:val="none" w:sz="0" w:space="0" w:color="auto"/>
        <w:bottom w:val="none" w:sz="0" w:space="0" w:color="auto"/>
        <w:right w:val="none" w:sz="0" w:space="0" w:color="auto"/>
      </w:divBdr>
    </w:div>
    <w:div w:id="624383878">
      <w:bodyDiv w:val="1"/>
      <w:marLeft w:val="0"/>
      <w:marRight w:val="0"/>
      <w:marTop w:val="0"/>
      <w:marBottom w:val="0"/>
      <w:divBdr>
        <w:top w:val="none" w:sz="0" w:space="0" w:color="auto"/>
        <w:left w:val="none" w:sz="0" w:space="0" w:color="auto"/>
        <w:bottom w:val="none" w:sz="0" w:space="0" w:color="auto"/>
        <w:right w:val="none" w:sz="0" w:space="0" w:color="auto"/>
      </w:divBdr>
    </w:div>
    <w:div w:id="643050819">
      <w:bodyDiv w:val="1"/>
      <w:marLeft w:val="0"/>
      <w:marRight w:val="0"/>
      <w:marTop w:val="0"/>
      <w:marBottom w:val="0"/>
      <w:divBdr>
        <w:top w:val="none" w:sz="0" w:space="0" w:color="auto"/>
        <w:left w:val="none" w:sz="0" w:space="0" w:color="auto"/>
        <w:bottom w:val="none" w:sz="0" w:space="0" w:color="auto"/>
        <w:right w:val="none" w:sz="0" w:space="0" w:color="auto"/>
      </w:divBdr>
    </w:div>
    <w:div w:id="686560391">
      <w:bodyDiv w:val="1"/>
      <w:marLeft w:val="0"/>
      <w:marRight w:val="0"/>
      <w:marTop w:val="0"/>
      <w:marBottom w:val="0"/>
      <w:divBdr>
        <w:top w:val="none" w:sz="0" w:space="0" w:color="auto"/>
        <w:left w:val="none" w:sz="0" w:space="0" w:color="auto"/>
        <w:bottom w:val="none" w:sz="0" w:space="0" w:color="auto"/>
        <w:right w:val="none" w:sz="0" w:space="0" w:color="auto"/>
      </w:divBdr>
    </w:div>
    <w:div w:id="693849052">
      <w:bodyDiv w:val="1"/>
      <w:marLeft w:val="0"/>
      <w:marRight w:val="0"/>
      <w:marTop w:val="0"/>
      <w:marBottom w:val="0"/>
      <w:divBdr>
        <w:top w:val="none" w:sz="0" w:space="0" w:color="auto"/>
        <w:left w:val="none" w:sz="0" w:space="0" w:color="auto"/>
        <w:bottom w:val="none" w:sz="0" w:space="0" w:color="auto"/>
        <w:right w:val="none" w:sz="0" w:space="0" w:color="auto"/>
      </w:divBdr>
    </w:div>
    <w:div w:id="728773466">
      <w:bodyDiv w:val="1"/>
      <w:marLeft w:val="0"/>
      <w:marRight w:val="0"/>
      <w:marTop w:val="0"/>
      <w:marBottom w:val="0"/>
      <w:divBdr>
        <w:top w:val="none" w:sz="0" w:space="0" w:color="auto"/>
        <w:left w:val="none" w:sz="0" w:space="0" w:color="auto"/>
        <w:bottom w:val="none" w:sz="0" w:space="0" w:color="auto"/>
        <w:right w:val="none" w:sz="0" w:space="0" w:color="auto"/>
      </w:divBdr>
    </w:div>
    <w:div w:id="794979916">
      <w:bodyDiv w:val="1"/>
      <w:marLeft w:val="0"/>
      <w:marRight w:val="0"/>
      <w:marTop w:val="0"/>
      <w:marBottom w:val="0"/>
      <w:divBdr>
        <w:top w:val="none" w:sz="0" w:space="0" w:color="auto"/>
        <w:left w:val="none" w:sz="0" w:space="0" w:color="auto"/>
        <w:bottom w:val="none" w:sz="0" w:space="0" w:color="auto"/>
        <w:right w:val="none" w:sz="0" w:space="0" w:color="auto"/>
      </w:divBdr>
    </w:div>
    <w:div w:id="833451363">
      <w:bodyDiv w:val="1"/>
      <w:marLeft w:val="0"/>
      <w:marRight w:val="0"/>
      <w:marTop w:val="0"/>
      <w:marBottom w:val="0"/>
      <w:divBdr>
        <w:top w:val="none" w:sz="0" w:space="0" w:color="auto"/>
        <w:left w:val="none" w:sz="0" w:space="0" w:color="auto"/>
        <w:bottom w:val="none" w:sz="0" w:space="0" w:color="auto"/>
        <w:right w:val="none" w:sz="0" w:space="0" w:color="auto"/>
      </w:divBdr>
    </w:div>
    <w:div w:id="886448866">
      <w:bodyDiv w:val="1"/>
      <w:marLeft w:val="0"/>
      <w:marRight w:val="0"/>
      <w:marTop w:val="0"/>
      <w:marBottom w:val="0"/>
      <w:divBdr>
        <w:top w:val="none" w:sz="0" w:space="0" w:color="auto"/>
        <w:left w:val="none" w:sz="0" w:space="0" w:color="auto"/>
        <w:bottom w:val="none" w:sz="0" w:space="0" w:color="auto"/>
        <w:right w:val="none" w:sz="0" w:space="0" w:color="auto"/>
      </w:divBdr>
    </w:div>
    <w:div w:id="911040912">
      <w:bodyDiv w:val="1"/>
      <w:marLeft w:val="0"/>
      <w:marRight w:val="0"/>
      <w:marTop w:val="0"/>
      <w:marBottom w:val="0"/>
      <w:divBdr>
        <w:top w:val="none" w:sz="0" w:space="0" w:color="auto"/>
        <w:left w:val="none" w:sz="0" w:space="0" w:color="auto"/>
        <w:bottom w:val="none" w:sz="0" w:space="0" w:color="auto"/>
        <w:right w:val="none" w:sz="0" w:space="0" w:color="auto"/>
      </w:divBdr>
    </w:div>
    <w:div w:id="914122974">
      <w:bodyDiv w:val="1"/>
      <w:marLeft w:val="0"/>
      <w:marRight w:val="0"/>
      <w:marTop w:val="0"/>
      <w:marBottom w:val="0"/>
      <w:divBdr>
        <w:top w:val="none" w:sz="0" w:space="0" w:color="auto"/>
        <w:left w:val="none" w:sz="0" w:space="0" w:color="auto"/>
        <w:bottom w:val="none" w:sz="0" w:space="0" w:color="auto"/>
        <w:right w:val="none" w:sz="0" w:space="0" w:color="auto"/>
      </w:divBdr>
    </w:div>
    <w:div w:id="954411843">
      <w:bodyDiv w:val="1"/>
      <w:marLeft w:val="0"/>
      <w:marRight w:val="0"/>
      <w:marTop w:val="0"/>
      <w:marBottom w:val="0"/>
      <w:divBdr>
        <w:top w:val="none" w:sz="0" w:space="0" w:color="auto"/>
        <w:left w:val="none" w:sz="0" w:space="0" w:color="auto"/>
        <w:bottom w:val="none" w:sz="0" w:space="0" w:color="auto"/>
        <w:right w:val="none" w:sz="0" w:space="0" w:color="auto"/>
      </w:divBdr>
    </w:div>
    <w:div w:id="957180428">
      <w:bodyDiv w:val="1"/>
      <w:marLeft w:val="0"/>
      <w:marRight w:val="0"/>
      <w:marTop w:val="0"/>
      <w:marBottom w:val="0"/>
      <w:divBdr>
        <w:top w:val="none" w:sz="0" w:space="0" w:color="auto"/>
        <w:left w:val="none" w:sz="0" w:space="0" w:color="auto"/>
        <w:bottom w:val="none" w:sz="0" w:space="0" w:color="auto"/>
        <w:right w:val="none" w:sz="0" w:space="0" w:color="auto"/>
      </w:divBdr>
    </w:div>
    <w:div w:id="1026179751">
      <w:bodyDiv w:val="1"/>
      <w:marLeft w:val="0"/>
      <w:marRight w:val="0"/>
      <w:marTop w:val="0"/>
      <w:marBottom w:val="0"/>
      <w:divBdr>
        <w:top w:val="none" w:sz="0" w:space="0" w:color="auto"/>
        <w:left w:val="none" w:sz="0" w:space="0" w:color="auto"/>
        <w:bottom w:val="none" w:sz="0" w:space="0" w:color="auto"/>
        <w:right w:val="none" w:sz="0" w:space="0" w:color="auto"/>
      </w:divBdr>
    </w:div>
    <w:div w:id="1027683483">
      <w:bodyDiv w:val="1"/>
      <w:marLeft w:val="0"/>
      <w:marRight w:val="0"/>
      <w:marTop w:val="0"/>
      <w:marBottom w:val="0"/>
      <w:divBdr>
        <w:top w:val="none" w:sz="0" w:space="0" w:color="auto"/>
        <w:left w:val="none" w:sz="0" w:space="0" w:color="auto"/>
        <w:bottom w:val="none" w:sz="0" w:space="0" w:color="auto"/>
        <w:right w:val="none" w:sz="0" w:space="0" w:color="auto"/>
      </w:divBdr>
    </w:div>
    <w:div w:id="1066028023">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210802704">
      <w:bodyDiv w:val="1"/>
      <w:marLeft w:val="0"/>
      <w:marRight w:val="0"/>
      <w:marTop w:val="0"/>
      <w:marBottom w:val="0"/>
      <w:divBdr>
        <w:top w:val="none" w:sz="0" w:space="0" w:color="auto"/>
        <w:left w:val="none" w:sz="0" w:space="0" w:color="auto"/>
        <w:bottom w:val="none" w:sz="0" w:space="0" w:color="auto"/>
        <w:right w:val="none" w:sz="0" w:space="0" w:color="auto"/>
      </w:divBdr>
    </w:div>
    <w:div w:id="1251739404">
      <w:bodyDiv w:val="1"/>
      <w:marLeft w:val="0"/>
      <w:marRight w:val="0"/>
      <w:marTop w:val="0"/>
      <w:marBottom w:val="0"/>
      <w:divBdr>
        <w:top w:val="none" w:sz="0" w:space="0" w:color="auto"/>
        <w:left w:val="none" w:sz="0" w:space="0" w:color="auto"/>
        <w:bottom w:val="none" w:sz="0" w:space="0" w:color="auto"/>
        <w:right w:val="none" w:sz="0" w:space="0" w:color="auto"/>
      </w:divBdr>
    </w:div>
    <w:div w:id="1256015630">
      <w:bodyDiv w:val="1"/>
      <w:marLeft w:val="0"/>
      <w:marRight w:val="0"/>
      <w:marTop w:val="0"/>
      <w:marBottom w:val="0"/>
      <w:divBdr>
        <w:top w:val="none" w:sz="0" w:space="0" w:color="auto"/>
        <w:left w:val="none" w:sz="0" w:space="0" w:color="auto"/>
        <w:bottom w:val="none" w:sz="0" w:space="0" w:color="auto"/>
        <w:right w:val="none" w:sz="0" w:space="0" w:color="auto"/>
      </w:divBdr>
    </w:div>
    <w:div w:id="1335181693">
      <w:bodyDiv w:val="1"/>
      <w:marLeft w:val="0"/>
      <w:marRight w:val="0"/>
      <w:marTop w:val="0"/>
      <w:marBottom w:val="0"/>
      <w:divBdr>
        <w:top w:val="none" w:sz="0" w:space="0" w:color="auto"/>
        <w:left w:val="none" w:sz="0" w:space="0" w:color="auto"/>
        <w:bottom w:val="none" w:sz="0" w:space="0" w:color="auto"/>
        <w:right w:val="none" w:sz="0" w:space="0" w:color="auto"/>
      </w:divBdr>
    </w:div>
    <w:div w:id="1424185098">
      <w:bodyDiv w:val="1"/>
      <w:marLeft w:val="0"/>
      <w:marRight w:val="0"/>
      <w:marTop w:val="0"/>
      <w:marBottom w:val="0"/>
      <w:divBdr>
        <w:top w:val="none" w:sz="0" w:space="0" w:color="auto"/>
        <w:left w:val="none" w:sz="0" w:space="0" w:color="auto"/>
        <w:bottom w:val="none" w:sz="0" w:space="0" w:color="auto"/>
        <w:right w:val="none" w:sz="0" w:space="0" w:color="auto"/>
      </w:divBdr>
    </w:div>
    <w:div w:id="1487476402">
      <w:bodyDiv w:val="1"/>
      <w:marLeft w:val="0"/>
      <w:marRight w:val="0"/>
      <w:marTop w:val="0"/>
      <w:marBottom w:val="0"/>
      <w:divBdr>
        <w:top w:val="none" w:sz="0" w:space="0" w:color="auto"/>
        <w:left w:val="none" w:sz="0" w:space="0" w:color="auto"/>
        <w:bottom w:val="none" w:sz="0" w:space="0" w:color="auto"/>
        <w:right w:val="none" w:sz="0" w:space="0" w:color="auto"/>
      </w:divBdr>
    </w:div>
    <w:div w:id="1542133849">
      <w:bodyDiv w:val="1"/>
      <w:marLeft w:val="0"/>
      <w:marRight w:val="0"/>
      <w:marTop w:val="0"/>
      <w:marBottom w:val="0"/>
      <w:divBdr>
        <w:top w:val="none" w:sz="0" w:space="0" w:color="auto"/>
        <w:left w:val="none" w:sz="0" w:space="0" w:color="auto"/>
        <w:bottom w:val="none" w:sz="0" w:space="0" w:color="auto"/>
        <w:right w:val="none" w:sz="0" w:space="0" w:color="auto"/>
      </w:divBdr>
    </w:div>
    <w:div w:id="1599025857">
      <w:bodyDiv w:val="1"/>
      <w:marLeft w:val="0"/>
      <w:marRight w:val="0"/>
      <w:marTop w:val="0"/>
      <w:marBottom w:val="0"/>
      <w:divBdr>
        <w:top w:val="none" w:sz="0" w:space="0" w:color="auto"/>
        <w:left w:val="none" w:sz="0" w:space="0" w:color="auto"/>
        <w:bottom w:val="none" w:sz="0" w:space="0" w:color="auto"/>
        <w:right w:val="none" w:sz="0" w:space="0" w:color="auto"/>
      </w:divBdr>
    </w:div>
    <w:div w:id="1608073510">
      <w:bodyDiv w:val="1"/>
      <w:marLeft w:val="0"/>
      <w:marRight w:val="0"/>
      <w:marTop w:val="0"/>
      <w:marBottom w:val="0"/>
      <w:divBdr>
        <w:top w:val="none" w:sz="0" w:space="0" w:color="auto"/>
        <w:left w:val="none" w:sz="0" w:space="0" w:color="auto"/>
        <w:bottom w:val="none" w:sz="0" w:space="0" w:color="auto"/>
        <w:right w:val="none" w:sz="0" w:space="0" w:color="auto"/>
      </w:divBdr>
    </w:div>
    <w:div w:id="1636570017">
      <w:bodyDiv w:val="1"/>
      <w:marLeft w:val="0"/>
      <w:marRight w:val="0"/>
      <w:marTop w:val="0"/>
      <w:marBottom w:val="0"/>
      <w:divBdr>
        <w:top w:val="none" w:sz="0" w:space="0" w:color="auto"/>
        <w:left w:val="none" w:sz="0" w:space="0" w:color="auto"/>
        <w:bottom w:val="none" w:sz="0" w:space="0" w:color="auto"/>
        <w:right w:val="none" w:sz="0" w:space="0" w:color="auto"/>
      </w:divBdr>
    </w:div>
    <w:div w:id="1652253498">
      <w:bodyDiv w:val="1"/>
      <w:marLeft w:val="0"/>
      <w:marRight w:val="0"/>
      <w:marTop w:val="0"/>
      <w:marBottom w:val="0"/>
      <w:divBdr>
        <w:top w:val="none" w:sz="0" w:space="0" w:color="auto"/>
        <w:left w:val="none" w:sz="0" w:space="0" w:color="auto"/>
        <w:bottom w:val="none" w:sz="0" w:space="0" w:color="auto"/>
        <w:right w:val="none" w:sz="0" w:space="0" w:color="auto"/>
      </w:divBdr>
    </w:div>
    <w:div w:id="1654530085">
      <w:bodyDiv w:val="1"/>
      <w:marLeft w:val="0"/>
      <w:marRight w:val="0"/>
      <w:marTop w:val="0"/>
      <w:marBottom w:val="0"/>
      <w:divBdr>
        <w:top w:val="none" w:sz="0" w:space="0" w:color="auto"/>
        <w:left w:val="none" w:sz="0" w:space="0" w:color="auto"/>
        <w:bottom w:val="none" w:sz="0" w:space="0" w:color="auto"/>
        <w:right w:val="none" w:sz="0" w:space="0" w:color="auto"/>
      </w:divBdr>
    </w:div>
    <w:div w:id="1670668724">
      <w:bodyDiv w:val="1"/>
      <w:marLeft w:val="0"/>
      <w:marRight w:val="0"/>
      <w:marTop w:val="0"/>
      <w:marBottom w:val="0"/>
      <w:divBdr>
        <w:top w:val="none" w:sz="0" w:space="0" w:color="auto"/>
        <w:left w:val="none" w:sz="0" w:space="0" w:color="auto"/>
        <w:bottom w:val="none" w:sz="0" w:space="0" w:color="auto"/>
        <w:right w:val="none" w:sz="0" w:space="0" w:color="auto"/>
      </w:divBdr>
    </w:div>
    <w:div w:id="1673872021">
      <w:bodyDiv w:val="1"/>
      <w:marLeft w:val="0"/>
      <w:marRight w:val="0"/>
      <w:marTop w:val="0"/>
      <w:marBottom w:val="0"/>
      <w:divBdr>
        <w:top w:val="none" w:sz="0" w:space="0" w:color="auto"/>
        <w:left w:val="none" w:sz="0" w:space="0" w:color="auto"/>
        <w:bottom w:val="none" w:sz="0" w:space="0" w:color="auto"/>
        <w:right w:val="none" w:sz="0" w:space="0" w:color="auto"/>
      </w:divBdr>
    </w:div>
    <w:div w:id="1694569455">
      <w:bodyDiv w:val="1"/>
      <w:marLeft w:val="0"/>
      <w:marRight w:val="0"/>
      <w:marTop w:val="0"/>
      <w:marBottom w:val="0"/>
      <w:divBdr>
        <w:top w:val="none" w:sz="0" w:space="0" w:color="auto"/>
        <w:left w:val="none" w:sz="0" w:space="0" w:color="auto"/>
        <w:bottom w:val="none" w:sz="0" w:space="0" w:color="auto"/>
        <w:right w:val="none" w:sz="0" w:space="0" w:color="auto"/>
      </w:divBdr>
    </w:div>
    <w:div w:id="1707020303">
      <w:bodyDiv w:val="1"/>
      <w:marLeft w:val="0"/>
      <w:marRight w:val="0"/>
      <w:marTop w:val="0"/>
      <w:marBottom w:val="0"/>
      <w:divBdr>
        <w:top w:val="none" w:sz="0" w:space="0" w:color="auto"/>
        <w:left w:val="none" w:sz="0" w:space="0" w:color="auto"/>
        <w:bottom w:val="none" w:sz="0" w:space="0" w:color="auto"/>
        <w:right w:val="none" w:sz="0" w:space="0" w:color="auto"/>
      </w:divBdr>
    </w:div>
    <w:div w:id="1716391997">
      <w:bodyDiv w:val="1"/>
      <w:marLeft w:val="0"/>
      <w:marRight w:val="0"/>
      <w:marTop w:val="0"/>
      <w:marBottom w:val="0"/>
      <w:divBdr>
        <w:top w:val="none" w:sz="0" w:space="0" w:color="auto"/>
        <w:left w:val="none" w:sz="0" w:space="0" w:color="auto"/>
        <w:bottom w:val="none" w:sz="0" w:space="0" w:color="auto"/>
        <w:right w:val="none" w:sz="0" w:space="0" w:color="auto"/>
      </w:divBdr>
    </w:div>
    <w:div w:id="1745882513">
      <w:bodyDiv w:val="1"/>
      <w:marLeft w:val="0"/>
      <w:marRight w:val="0"/>
      <w:marTop w:val="0"/>
      <w:marBottom w:val="0"/>
      <w:divBdr>
        <w:top w:val="none" w:sz="0" w:space="0" w:color="auto"/>
        <w:left w:val="none" w:sz="0" w:space="0" w:color="auto"/>
        <w:bottom w:val="none" w:sz="0" w:space="0" w:color="auto"/>
        <w:right w:val="none" w:sz="0" w:space="0" w:color="auto"/>
      </w:divBdr>
    </w:div>
    <w:div w:id="1753624577">
      <w:bodyDiv w:val="1"/>
      <w:marLeft w:val="0"/>
      <w:marRight w:val="0"/>
      <w:marTop w:val="0"/>
      <w:marBottom w:val="0"/>
      <w:divBdr>
        <w:top w:val="none" w:sz="0" w:space="0" w:color="auto"/>
        <w:left w:val="none" w:sz="0" w:space="0" w:color="auto"/>
        <w:bottom w:val="none" w:sz="0" w:space="0" w:color="auto"/>
        <w:right w:val="none" w:sz="0" w:space="0" w:color="auto"/>
      </w:divBdr>
    </w:div>
    <w:div w:id="1774746819">
      <w:bodyDiv w:val="1"/>
      <w:marLeft w:val="0"/>
      <w:marRight w:val="0"/>
      <w:marTop w:val="0"/>
      <w:marBottom w:val="0"/>
      <w:divBdr>
        <w:top w:val="none" w:sz="0" w:space="0" w:color="auto"/>
        <w:left w:val="none" w:sz="0" w:space="0" w:color="auto"/>
        <w:bottom w:val="none" w:sz="0" w:space="0" w:color="auto"/>
        <w:right w:val="none" w:sz="0" w:space="0" w:color="auto"/>
      </w:divBdr>
    </w:div>
    <w:div w:id="1860771057">
      <w:bodyDiv w:val="1"/>
      <w:marLeft w:val="0"/>
      <w:marRight w:val="0"/>
      <w:marTop w:val="0"/>
      <w:marBottom w:val="0"/>
      <w:divBdr>
        <w:top w:val="none" w:sz="0" w:space="0" w:color="auto"/>
        <w:left w:val="none" w:sz="0" w:space="0" w:color="auto"/>
        <w:bottom w:val="none" w:sz="0" w:space="0" w:color="auto"/>
        <w:right w:val="none" w:sz="0" w:space="0" w:color="auto"/>
      </w:divBdr>
    </w:div>
    <w:div w:id="1861427564">
      <w:bodyDiv w:val="1"/>
      <w:marLeft w:val="0"/>
      <w:marRight w:val="0"/>
      <w:marTop w:val="0"/>
      <w:marBottom w:val="0"/>
      <w:divBdr>
        <w:top w:val="none" w:sz="0" w:space="0" w:color="auto"/>
        <w:left w:val="none" w:sz="0" w:space="0" w:color="auto"/>
        <w:bottom w:val="none" w:sz="0" w:space="0" w:color="auto"/>
        <w:right w:val="none" w:sz="0" w:space="0" w:color="auto"/>
      </w:divBdr>
    </w:div>
    <w:div w:id="1873609578">
      <w:bodyDiv w:val="1"/>
      <w:marLeft w:val="0"/>
      <w:marRight w:val="0"/>
      <w:marTop w:val="0"/>
      <w:marBottom w:val="0"/>
      <w:divBdr>
        <w:top w:val="none" w:sz="0" w:space="0" w:color="auto"/>
        <w:left w:val="none" w:sz="0" w:space="0" w:color="auto"/>
        <w:bottom w:val="none" w:sz="0" w:space="0" w:color="auto"/>
        <w:right w:val="none" w:sz="0" w:space="0" w:color="auto"/>
      </w:divBdr>
    </w:div>
    <w:div w:id="1941256041">
      <w:bodyDiv w:val="1"/>
      <w:marLeft w:val="0"/>
      <w:marRight w:val="0"/>
      <w:marTop w:val="0"/>
      <w:marBottom w:val="0"/>
      <w:divBdr>
        <w:top w:val="none" w:sz="0" w:space="0" w:color="auto"/>
        <w:left w:val="none" w:sz="0" w:space="0" w:color="auto"/>
        <w:bottom w:val="none" w:sz="0" w:space="0" w:color="auto"/>
        <w:right w:val="none" w:sz="0" w:space="0" w:color="auto"/>
      </w:divBdr>
    </w:div>
    <w:div w:id="1942641321">
      <w:bodyDiv w:val="1"/>
      <w:marLeft w:val="0"/>
      <w:marRight w:val="0"/>
      <w:marTop w:val="0"/>
      <w:marBottom w:val="0"/>
      <w:divBdr>
        <w:top w:val="none" w:sz="0" w:space="0" w:color="auto"/>
        <w:left w:val="none" w:sz="0" w:space="0" w:color="auto"/>
        <w:bottom w:val="none" w:sz="0" w:space="0" w:color="auto"/>
        <w:right w:val="none" w:sz="0" w:space="0" w:color="auto"/>
      </w:divBdr>
    </w:div>
    <w:div w:id="1966962968">
      <w:bodyDiv w:val="1"/>
      <w:marLeft w:val="0"/>
      <w:marRight w:val="0"/>
      <w:marTop w:val="0"/>
      <w:marBottom w:val="0"/>
      <w:divBdr>
        <w:top w:val="none" w:sz="0" w:space="0" w:color="auto"/>
        <w:left w:val="none" w:sz="0" w:space="0" w:color="auto"/>
        <w:bottom w:val="none" w:sz="0" w:space="0" w:color="auto"/>
        <w:right w:val="none" w:sz="0" w:space="0" w:color="auto"/>
      </w:divBdr>
    </w:div>
    <w:div w:id="1992979330">
      <w:bodyDiv w:val="1"/>
      <w:marLeft w:val="0"/>
      <w:marRight w:val="0"/>
      <w:marTop w:val="0"/>
      <w:marBottom w:val="0"/>
      <w:divBdr>
        <w:top w:val="none" w:sz="0" w:space="0" w:color="auto"/>
        <w:left w:val="none" w:sz="0" w:space="0" w:color="auto"/>
        <w:bottom w:val="none" w:sz="0" w:space="0" w:color="auto"/>
        <w:right w:val="none" w:sz="0" w:space="0" w:color="auto"/>
      </w:divBdr>
    </w:div>
    <w:div w:id="2027444941">
      <w:bodyDiv w:val="1"/>
      <w:marLeft w:val="0"/>
      <w:marRight w:val="0"/>
      <w:marTop w:val="0"/>
      <w:marBottom w:val="0"/>
      <w:divBdr>
        <w:top w:val="none" w:sz="0" w:space="0" w:color="auto"/>
        <w:left w:val="none" w:sz="0" w:space="0" w:color="auto"/>
        <w:bottom w:val="none" w:sz="0" w:space="0" w:color="auto"/>
        <w:right w:val="none" w:sz="0" w:space="0" w:color="auto"/>
      </w:divBdr>
    </w:div>
    <w:div w:id="2064593980">
      <w:bodyDiv w:val="1"/>
      <w:marLeft w:val="0"/>
      <w:marRight w:val="0"/>
      <w:marTop w:val="0"/>
      <w:marBottom w:val="0"/>
      <w:divBdr>
        <w:top w:val="none" w:sz="0" w:space="0" w:color="auto"/>
        <w:left w:val="none" w:sz="0" w:space="0" w:color="auto"/>
        <w:bottom w:val="none" w:sz="0" w:space="0" w:color="auto"/>
        <w:right w:val="none" w:sz="0" w:space="0" w:color="auto"/>
      </w:divBdr>
    </w:div>
    <w:div w:id="2066105185">
      <w:bodyDiv w:val="1"/>
      <w:marLeft w:val="0"/>
      <w:marRight w:val="0"/>
      <w:marTop w:val="0"/>
      <w:marBottom w:val="0"/>
      <w:divBdr>
        <w:top w:val="none" w:sz="0" w:space="0" w:color="auto"/>
        <w:left w:val="none" w:sz="0" w:space="0" w:color="auto"/>
        <w:bottom w:val="none" w:sz="0" w:space="0" w:color="auto"/>
        <w:right w:val="none" w:sz="0" w:space="0" w:color="auto"/>
      </w:divBdr>
    </w:div>
    <w:div w:id="2075270285">
      <w:bodyDiv w:val="1"/>
      <w:marLeft w:val="0"/>
      <w:marRight w:val="0"/>
      <w:marTop w:val="0"/>
      <w:marBottom w:val="0"/>
      <w:divBdr>
        <w:top w:val="none" w:sz="0" w:space="0" w:color="auto"/>
        <w:left w:val="none" w:sz="0" w:space="0" w:color="auto"/>
        <w:bottom w:val="none" w:sz="0" w:space="0" w:color="auto"/>
        <w:right w:val="none" w:sz="0" w:space="0" w:color="auto"/>
      </w:divBdr>
    </w:div>
    <w:div w:id="2079548179">
      <w:bodyDiv w:val="1"/>
      <w:marLeft w:val="0"/>
      <w:marRight w:val="0"/>
      <w:marTop w:val="0"/>
      <w:marBottom w:val="0"/>
      <w:divBdr>
        <w:top w:val="none" w:sz="0" w:space="0" w:color="auto"/>
        <w:left w:val="none" w:sz="0" w:space="0" w:color="auto"/>
        <w:bottom w:val="none" w:sz="0" w:space="0" w:color="auto"/>
        <w:right w:val="none" w:sz="0" w:space="0" w:color="auto"/>
      </w:divBdr>
    </w:div>
    <w:div w:id="2086535962">
      <w:bodyDiv w:val="1"/>
      <w:marLeft w:val="0"/>
      <w:marRight w:val="0"/>
      <w:marTop w:val="0"/>
      <w:marBottom w:val="0"/>
      <w:divBdr>
        <w:top w:val="none" w:sz="0" w:space="0" w:color="auto"/>
        <w:left w:val="none" w:sz="0" w:space="0" w:color="auto"/>
        <w:bottom w:val="none" w:sz="0" w:space="0" w:color="auto"/>
        <w:right w:val="none" w:sz="0" w:space="0" w:color="auto"/>
      </w:divBdr>
    </w:div>
    <w:div w:id="2097510053">
      <w:bodyDiv w:val="1"/>
      <w:marLeft w:val="0"/>
      <w:marRight w:val="0"/>
      <w:marTop w:val="0"/>
      <w:marBottom w:val="0"/>
      <w:divBdr>
        <w:top w:val="none" w:sz="0" w:space="0" w:color="auto"/>
        <w:left w:val="none" w:sz="0" w:space="0" w:color="auto"/>
        <w:bottom w:val="none" w:sz="0" w:space="0" w:color="auto"/>
        <w:right w:val="none" w:sz="0" w:space="0" w:color="auto"/>
      </w:divBdr>
    </w:div>
    <w:div w:id="2103066432">
      <w:bodyDiv w:val="1"/>
      <w:marLeft w:val="0"/>
      <w:marRight w:val="0"/>
      <w:marTop w:val="0"/>
      <w:marBottom w:val="0"/>
      <w:divBdr>
        <w:top w:val="none" w:sz="0" w:space="0" w:color="auto"/>
        <w:left w:val="none" w:sz="0" w:space="0" w:color="auto"/>
        <w:bottom w:val="none" w:sz="0" w:space="0" w:color="auto"/>
        <w:right w:val="none" w:sz="0" w:space="0" w:color="auto"/>
      </w:divBdr>
    </w:div>
    <w:div w:id="21032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1957</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ICD-1300-6136-01</vt:lpstr>
    </vt:vector>
  </TitlesOfParts>
  <Manager>Ms. Karen Hass</Manager>
  <Company>IBA</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ICD-1300-6136-01</dc:title>
  <dc:subject>Service Area File</dc:subject>
  <dc:creator>Steve Luhrman</dc:creator>
  <cp:lastModifiedBy>Kennedy, Brian, CIV, OASD(HA)/TMA</cp:lastModifiedBy>
  <cp:revision>3</cp:revision>
  <cp:lastPrinted>2010-05-26T18:31:00Z</cp:lastPrinted>
  <dcterms:created xsi:type="dcterms:W3CDTF">2012-11-07T14:32:00Z</dcterms:created>
  <dcterms:modified xsi:type="dcterms:W3CDTF">2012-11-19T13:33:00Z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ICD-1300-6136-01</vt:lpwstr>
  </property>
  <property fmtid="{D5CDD505-2E9C-101B-9397-08002B2CF9AE}" pid="3" name="IterationVers">
    <vt:lpwstr>Approved</vt:lpwstr>
  </property>
  <property fmtid="{D5CDD505-2E9C-101B-9397-08002B2CF9AE}" pid="4" name="DocDate">
    <vt:lpwstr>May 25, 2010</vt:lpwstr>
  </property>
  <property fmtid="{D5CDD505-2E9C-101B-9397-08002B2CF9AE}" pid="5" name="ShortTitle">
    <vt:lpwstr>SAF for MDR</vt:lpwstr>
  </property>
  <property fmtid="{D5CDD505-2E9C-101B-9397-08002B2CF9AE}" pid="6" name="DocRevisionLtr">
    <vt:lpwstr>Baseline</vt:lpwstr>
  </property>
</Properties>
</file>